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66" w:rsidRDefault="00166A66" w:rsidP="00166A66">
      <w:pPr>
        <w:pStyle w:val="Header"/>
        <w:jc w:val="center"/>
      </w:pPr>
      <w:r>
        <w:t>UNIVERSITY OF FLORIDA</w:t>
      </w:r>
    </w:p>
    <w:p w:rsidR="00166A66" w:rsidRDefault="00166A66" w:rsidP="00166A66">
      <w:pPr>
        <w:pStyle w:val="Header"/>
        <w:jc w:val="center"/>
      </w:pPr>
      <w:r>
        <w:t xml:space="preserve">COLLEGE OF NURSING </w:t>
      </w:r>
    </w:p>
    <w:p w:rsidR="00166A66" w:rsidRDefault="00166A66" w:rsidP="00166A66">
      <w:pPr>
        <w:pStyle w:val="Header"/>
        <w:jc w:val="center"/>
      </w:pPr>
      <w:r>
        <w:t>COURSE SYLLABUS</w:t>
      </w:r>
    </w:p>
    <w:p w:rsidR="00166A66" w:rsidRDefault="009638E3" w:rsidP="00166A66">
      <w:pPr>
        <w:pStyle w:val="Header"/>
        <w:jc w:val="center"/>
      </w:pPr>
      <w:r>
        <w:t>FALL 2018</w:t>
      </w:r>
    </w:p>
    <w:p w:rsidR="00166A66" w:rsidRDefault="00166A66" w:rsidP="00166A66">
      <w:pPr>
        <w:pStyle w:val="Header"/>
      </w:pPr>
    </w:p>
    <w:p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p>
    <w:p w:rsidR="00DE7895" w:rsidRDefault="00881D04" w:rsidP="00881D04">
      <w:pPr>
        <w:keepNext/>
        <w:tabs>
          <w:tab w:val="left" w:pos="3815"/>
        </w:tabs>
      </w:pPr>
      <w:r>
        <w:tab/>
      </w:r>
    </w:p>
    <w:p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rsidR="00DE7895" w:rsidRDefault="00DE7895" w:rsidP="004E0981">
      <w:pPr>
        <w:keepNext/>
      </w:pPr>
    </w:p>
    <w:p w:rsidR="00DE7895" w:rsidRDefault="00DE7895" w:rsidP="004E0981">
      <w:pPr>
        <w:keepNext/>
      </w:pPr>
      <w:r>
        <w:rPr>
          <w:u w:val="single"/>
        </w:rPr>
        <w:t>CREDITS</w:t>
      </w:r>
      <w:r>
        <w:tab/>
      </w:r>
      <w:r>
        <w:tab/>
      </w:r>
      <w:r>
        <w:tab/>
        <w:t>3</w:t>
      </w:r>
    </w:p>
    <w:p w:rsidR="00DE7895" w:rsidRDefault="00DE7895" w:rsidP="004E0981">
      <w:pPr>
        <w:keepNext/>
      </w:pPr>
    </w:p>
    <w:p w:rsidR="00DE7895" w:rsidRDefault="00DE7895" w:rsidP="004E0981">
      <w:pPr>
        <w:keepNext/>
      </w:pPr>
      <w:r>
        <w:rPr>
          <w:u w:val="single"/>
        </w:rPr>
        <w:t>PLACEMENT</w:t>
      </w:r>
      <w:r>
        <w:tab/>
      </w:r>
      <w:r>
        <w:tab/>
        <w:t xml:space="preserve">DNP Program  </w:t>
      </w:r>
    </w:p>
    <w:p w:rsidR="00DE7895" w:rsidRDefault="00DE7895" w:rsidP="004E0981">
      <w:pPr>
        <w:keepNext/>
      </w:pPr>
    </w:p>
    <w:p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rsidR="00DE7895" w:rsidRDefault="00DE7895" w:rsidP="005C2068">
      <w:pPr>
        <w:keepNext/>
        <w:ind w:left="4320" w:hanging="1440"/>
      </w:pPr>
      <w:r>
        <w:t xml:space="preserve">NGR 6101 </w:t>
      </w:r>
      <w:r w:rsidR="005C2068">
        <w:tab/>
      </w:r>
      <w:r>
        <w:t xml:space="preserve">Theory and Research for </w:t>
      </w:r>
      <w:r w:rsidR="00166A66">
        <w:t>Advanced Nursing Practice</w:t>
      </w:r>
    </w:p>
    <w:p w:rsidR="00DE7895" w:rsidRDefault="00DE7895" w:rsidP="004E0981">
      <w:pPr>
        <w:keepNext/>
      </w:pPr>
    </w:p>
    <w:p w:rsidR="00DE7895" w:rsidRDefault="00DE7895" w:rsidP="004E0981">
      <w:pPr>
        <w:keepNext/>
        <w:ind w:left="2880" w:hanging="2880"/>
      </w:pPr>
      <w:r>
        <w:rPr>
          <w:u w:val="single"/>
        </w:rPr>
        <w:t>COREQUISTIES</w:t>
      </w:r>
      <w:r>
        <w:tab/>
        <w:t>None</w:t>
      </w:r>
    </w:p>
    <w:p w:rsidR="00DE7895" w:rsidRDefault="00DE7895" w:rsidP="004E0981">
      <w:pPr>
        <w:keepNext/>
      </w:pPr>
    </w:p>
    <w:p w:rsidR="009638E3" w:rsidRDefault="009638E3" w:rsidP="009638E3">
      <w:r w:rsidRPr="003D5C55">
        <w:rPr>
          <w:u w:val="single"/>
        </w:rPr>
        <w:t>FACULTY</w:t>
      </w:r>
      <w:r>
        <w:tab/>
      </w:r>
      <w:r>
        <w:tab/>
      </w:r>
      <w:r>
        <w:tab/>
      </w:r>
      <w:r w:rsidR="002C4572">
        <w:t>Sharon M. Bradley DNP, RN, CNL, CNE</w:t>
      </w:r>
      <w:r>
        <w:tab/>
      </w:r>
      <w:r>
        <w:tab/>
      </w:r>
      <w:r>
        <w:tab/>
      </w:r>
      <w:r>
        <w:tab/>
      </w:r>
    </w:p>
    <w:p w:rsidR="002C4572" w:rsidRPr="0073252A" w:rsidRDefault="009638E3" w:rsidP="002C4572">
      <w:pPr>
        <w:rPr>
          <w:b/>
        </w:rPr>
      </w:pPr>
      <w:r>
        <w:tab/>
      </w:r>
      <w:r>
        <w:tab/>
      </w:r>
      <w:r>
        <w:tab/>
      </w:r>
      <w:r>
        <w:tab/>
      </w:r>
      <w:r w:rsidR="002C4572" w:rsidRPr="0073252A">
        <w:rPr>
          <w:b/>
        </w:rPr>
        <w:t xml:space="preserve">SECTION: </w:t>
      </w:r>
      <w:r w:rsidR="002C4572" w:rsidRPr="002C4572">
        <w:rPr>
          <w:b/>
        </w:rPr>
        <w:t>25FB</w:t>
      </w:r>
    </w:p>
    <w:p w:rsidR="002C4572" w:rsidRDefault="002C4572" w:rsidP="002C4572">
      <w:pPr>
        <w:pStyle w:val="Heading1"/>
        <w:rPr>
          <w:u w:val="none"/>
        </w:rPr>
      </w:pPr>
      <w:r>
        <w:rPr>
          <w:u w:val="none"/>
        </w:rPr>
        <w:tab/>
      </w:r>
      <w:r>
        <w:rPr>
          <w:u w:val="none"/>
        </w:rPr>
        <w:tab/>
      </w:r>
      <w:r>
        <w:rPr>
          <w:u w:val="none"/>
        </w:rPr>
        <w:tab/>
      </w:r>
      <w:r>
        <w:rPr>
          <w:u w:val="none"/>
        </w:rPr>
        <w:tab/>
      </w:r>
      <w:hyperlink r:id="rId8" w:history="1">
        <w:r>
          <w:rPr>
            <w:rStyle w:val="Hyperlink"/>
          </w:rPr>
          <w:t>sbradley@ufl.edu</w:t>
        </w:r>
      </w:hyperlink>
      <w:r>
        <w:rPr>
          <w:rStyle w:val="Hyperlink"/>
        </w:rPr>
        <w:t xml:space="preserve"> </w:t>
      </w:r>
    </w:p>
    <w:p w:rsidR="002C4572" w:rsidRDefault="002C4572" w:rsidP="002C4572">
      <w:pPr>
        <w:pStyle w:val="Heading1"/>
        <w:rPr>
          <w:u w:val="none"/>
        </w:rPr>
      </w:pPr>
      <w:r>
        <w:rPr>
          <w:u w:val="none"/>
        </w:rPr>
        <w:tab/>
      </w:r>
      <w:r>
        <w:rPr>
          <w:u w:val="none"/>
        </w:rPr>
        <w:tab/>
      </w:r>
      <w:r>
        <w:rPr>
          <w:u w:val="none"/>
        </w:rPr>
        <w:tab/>
      </w:r>
      <w:r>
        <w:rPr>
          <w:u w:val="none"/>
        </w:rPr>
        <w:tab/>
        <w:t>HPNP 3230, (352) 273-6423</w:t>
      </w:r>
    </w:p>
    <w:p w:rsidR="002C4572" w:rsidRDefault="002C4572" w:rsidP="002C4572">
      <w:r>
        <w:tab/>
      </w:r>
      <w:r>
        <w:tab/>
      </w:r>
      <w:r>
        <w:tab/>
      </w:r>
      <w:r>
        <w:tab/>
        <w:t>Office hours Wednesdays 12 – 2 pm, and by appt.</w:t>
      </w:r>
    </w:p>
    <w:p w:rsidR="009638E3" w:rsidRDefault="009638E3" w:rsidP="009638E3"/>
    <w:p w:rsidR="000F3F59" w:rsidRDefault="000F3F59" w:rsidP="000F3F59"/>
    <w:p w:rsidR="000F3F59" w:rsidRDefault="00DE7895" w:rsidP="000F3F59">
      <w:r>
        <w:rPr>
          <w:u w:val="single"/>
        </w:rPr>
        <w:t xml:space="preserve">COURSE </w:t>
      </w:r>
      <w:r w:rsidR="00D82DB9">
        <w:rPr>
          <w:u w:val="single"/>
        </w:rPr>
        <w:t>DESCRIPTION</w:t>
      </w:r>
      <w:r w:rsidR="00D82DB9">
        <w:t xml:space="preserve"> </w:t>
      </w:r>
      <w:r w:rsidR="00D82DB9">
        <w:tab/>
      </w:r>
      <w:r w:rsidR="004E11B1">
        <w:t>T</w:t>
      </w:r>
      <w:r>
        <w:t xml:space="preserve">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rsidR="000F3F59" w:rsidRDefault="000F3F59" w:rsidP="000F3F59"/>
    <w:p w:rsidR="000F3F59" w:rsidRDefault="00DE7895" w:rsidP="000F3F59">
      <w:r>
        <w:rPr>
          <w:u w:val="single"/>
        </w:rPr>
        <w:t xml:space="preserve">COURSE </w:t>
      </w:r>
      <w:r w:rsidR="00D82DB9">
        <w:rPr>
          <w:u w:val="single"/>
        </w:rPr>
        <w:t>OBJECTIVES</w:t>
      </w:r>
      <w:r w:rsidR="00D82DB9">
        <w:t xml:space="preserve"> </w:t>
      </w:r>
      <w:r w:rsidR="00D82DB9">
        <w:tab/>
      </w:r>
      <w:r>
        <w:t>Upon completion of this course, the student will be able to:</w:t>
      </w:r>
    </w:p>
    <w:p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rsidR="000F3F59" w:rsidRDefault="004658CC" w:rsidP="000F3F59">
      <w:pPr>
        <w:numPr>
          <w:ilvl w:val="0"/>
          <w:numId w:val="14"/>
        </w:numPr>
      </w:pPr>
      <w:r>
        <w:t>I</w:t>
      </w:r>
      <w:r w:rsidR="00174E9F">
        <w:t xml:space="preserve">dentify factors that improve </w:t>
      </w:r>
      <w:r w:rsidR="00B35CBD">
        <w:t>the safety of health care delivery</w:t>
      </w:r>
    </w:p>
    <w:p w:rsidR="000F3F59" w:rsidRDefault="00D00314" w:rsidP="000F3F59">
      <w:pPr>
        <w:numPr>
          <w:ilvl w:val="0"/>
          <w:numId w:val="14"/>
        </w:numPr>
      </w:pPr>
      <w:r>
        <w:t>Describe the phases of a quality improvement project</w:t>
      </w:r>
    </w:p>
    <w:p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rsidR="002D059E" w:rsidRDefault="004658CC" w:rsidP="002D059E">
      <w:pPr>
        <w:numPr>
          <w:ilvl w:val="0"/>
          <w:numId w:val="14"/>
        </w:numPr>
      </w:pPr>
      <w:r>
        <w:t>Distinguish between cost and value in health care and how both relate to quality</w:t>
      </w:r>
    </w:p>
    <w:p w:rsidR="002D059E" w:rsidRDefault="005F2B99" w:rsidP="002D059E">
      <w:pPr>
        <w:numPr>
          <w:ilvl w:val="0"/>
          <w:numId w:val="14"/>
        </w:numPr>
      </w:pPr>
      <w:r>
        <w:t>Identify successful interventions to improve health and health outcomes for different populations.</w:t>
      </w:r>
    </w:p>
    <w:p w:rsidR="002D059E" w:rsidRDefault="002D059E" w:rsidP="002D059E"/>
    <w:p w:rsidR="002D059E" w:rsidRDefault="000F3F59" w:rsidP="002D059E">
      <w:pPr>
        <w:rPr>
          <w:u w:val="single"/>
        </w:rPr>
      </w:pPr>
      <w:r w:rsidRPr="002D059E">
        <w:rPr>
          <w:u w:val="single"/>
        </w:rPr>
        <w:t>COURSE SCHEDULE</w:t>
      </w:r>
    </w:p>
    <w:p w:rsidR="004E11B1" w:rsidRDefault="001A2393" w:rsidP="004E11B1">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9" w:history="1">
        <w:r>
          <w:rPr>
            <w:rStyle w:val="Hyperlink"/>
          </w:rPr>
          <w:t>http://elearning.ufl.edu/</w:t>
        </w:r>
      </w:hyperlink>
      <w:r>
        <w:t xml:space="preserve">. </w:t>
      </w:r>
      <w:r w:rsidRPr="007F2384">
        <w:rPr>
          <w:rStyle w:val="Hyperlink"/>
        </w:rPr>
        <w:t xml:space="preserve"> There </w:t>
      </w:r>
      <w:r w:rsidRPr="007F2384">
        <w:t>a</w:t>
      </w:r>
      <w:r w:rsidRPr="00F532F9">
        <w:t xml:space="preserve">re several tutorials and student help links on the E-Learning </w:t>
      </w:r>
    </w:p>
    <w:p w:rsidR="004E11B1" w:rsidRDefault="004E11B1" w:rsidP="004E11B1"/>
    <w:p w:rsidR="004E11B1" w:rsidRPr="009638E3" w:rsidRDefault="004E11B1" w:rsidP="004E11B1">
      <w:pPr>
        <w:rPr>
          <w:u w:val="single"/>
        </w:rPr>
      </w:pPr>
      <w:r w:rsidRPr="002D059E">
        <w:rPr>
          <w:u w:val="single"/>
        </w:rPr>
        <w:lastRenderedPageBreak/>
        <w:t>COURSE SCHEDULE</w:t>
      </w:r>
      <w:r>
        <w:rPr>
          <w:u w:val="single"/>
        </w:rPr>
        <w:t xml:space="preserve"> (CONTINUED)</w:t>
      </w:r>
    </w:p>
    <w:p w:rsidR="004E11B1" w:rsidRDefault="004E11B1" w:rsidP="004E11B1"/>
    <w:p w:rsidR="004E11B1" w:rsidRDefault="001A2393" w:rsidP="004E11B1">
      <w:pPr>
        <w:rPr>
          <w:u w:val="single"/>
        </w:rPr>
      </w:pPr>
      <w:proofErr w:type="gramStart"/>
      <w:r w:rsidRPr="00F532F9">
        <w:t>login</w:t>
      </w:r>
      <w:proofErr w:type="gramEnd"/>
      <w:r w:rsidRPr="00F532F9">
        <w:t xml:space="preserve"> site. If you have technical questions call the UF Computer Help Desk at 352-392-HELP or send email to </w:t>
      </w:r>
      <w:hyperlink r:id="rId10" w:history="1">
        <w:r w:rsidRPr="00F532F9">
          <w:rPr>
            <w:rStyle w:val="Hyperlink"/>
          </w:rPr>
          <w:t>helpdesk@ufl.edu</w:t>
        </w:r>
      </w:hyperlink>
      <w:r w:rsidRPr="00F532F9">
        <w:t>.</w:t>
      </w:r>
    </w:p>
    <w:p w:rsidR="004E11B1" w:rsidRDefault="004E11B1" w:rsidP="004E11B1">
      <w:pPr>
        <w:rPr>
          <w:u w:val="single"/>
        </w:rPr>
      </w:pPr>
    </w:p>
    <w:p w:rsidR="004E11B1" w:rsidRDefault="000F3F59" w:rsidP="004E11B1">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r w:rsidR="009638E3">
        <w:t xml:space="preserve"> </w:t>
      </w:r>
    </w:p>
    <w:p w:rsidR="004E11B1" w:rsidRDefault="004E11B1" w:rsidP="004E11B1"/>
    <w:p w:rsidR="000F3F59" w:rsidRPr="004E11B1" w:rsidRDefault="000F3F59" w:rsidP="004E11B1">
      <w:pPr>
        <w:rPr>
          <w:u w:val="single"/>
        </w:rPr>
      </w:pPr>
      <w:r>
        <w:t>Course websites are generally made available on the Friday before the first day of classes</w:t>
      </w:r>
    </w:p>
    <w:p w:rsidR="000F3F59" w:rsidRDefault="000F3F59" w:rsidP="000F3F59"/>
    <w:p w:rsidR="004E11B1" w:rsidRDefault="004E11B1" w:rsidP="004E11B1">
      <w:pPr>
        <w:rPr>
          <w:u w:val="single"/>
        </w:rPr>
      </w:pPr>
      <w:r>
        <w:rPr>
          <w:u w:val="single"/>
        </w:rPr>
        <w:t>N</w:t>
      </w:r>
      <w:r w:rsidR="002A2F03">
        <w:rPr>
          <w:u w:val="single"/>
        </w:rPr>
        <w:t>ETQUETTE</w:t>
      </w:r>
    </w:p>
    <w:p w:rsidR="004E11B1" w:rsidRDefault="004E11B1" w:rsidP="004E11B1"/>
    <w:p w:rsidR="004E11B1" w:rsidRDefault="004E11B1" w:rsidP="004E11B1">
      <w:r>
        <w:t xml:space="preserve">It is important to recognize that the online classroom is in fact a classroom, and certain behaviors are expected in communication with both your peers and your instructors. These guidelines for online behavior and interaction are known as </w:t>
      </w:r>
      <w:r w:rsidRPr="00585B50">
        <w:rPr>
          <w:b/>
        </w:rPr>
        <w:t>netiquette</w:t>
      </w:r>
      <w:r>
        <w:t>.</w:t>
      </w:r>
    </w:p>
    <w:p w:rsidR="004E11B1" w:rsidRDefault="004E11B1" w:rsidP="004E11B1"/>
    <w:p w:rsidR="004E11B1" w:rsidRDefault="004E11B1" w:rsidP="004E11B1">
      <w:r>
        <w:t xml:space="preserve">Please be respectful of others in email messages, online discussions, and other activities. </w:t>
      </w:r>
      <w:r w:rsidRPr="00B70448">
        <w:t xml:space="preserve">All members of the class are expected to follow rules of common courtesy </w:t>
      </w:r>
      <w:r>
        <w:t>in all interactions. All</w:t>
      </w:r>
      <w:r w:rsidRPr="00F77F72">
        <w:t xml:space="preserve"> students </w:t>
      </w:r>
      <w:r>
        <w:t xml:space="preserve">are expected to </w:t>
      </w:r>
      <w:r w:rsidRPr="00F77F72">
        <w:t xml:space="preserve">maintain professional </w:t>
      </w:r>
      <w:r>
        <w:t>language in posts and responses; no personal criticism, slang, or</w:t>
      </w:r>
      <w:r w:rsidRPr="00B70448">
        <w:t xml:space="preserve"> inappropriate language is permitted. </w:t>
      </w:r>
      <w:r>
        <w:t xml:space="preserve">Additional information on Netiquette Guidelines are available at </w:t>
      </w:r>
      <w:hyperlink r:id="rId11" w:history="1">
        <w:r w:rsidRPr="00C5258D">
          <w:rPr>
            <w:rStyle w:val="Hyperlink"/>
          </w:rPr>
          <w:t>http://teach.ufl.edu/wp-content/uploads/2012/08/NetiquetteGuideforOnlineCourses.pdf</w:t>
        </w:r>
      </w:hyperlink>
    </w:p>
    <w:p w:rsidR="005F6814" w:rsidRDefault="005F6814" w:rsidP="004E11B1">
      <w:pPr>
        <w:keepNext/>
      </w:pPr>
    </w:p>
    <w:p w:rsidR="004E11B1" w:rsidRDefault="004E11B1" w:rsidP="004E11B1">
      <w:pPr>
        <w:keepNext/>
        <w:rPr>
          <w:u w:val="single"/>
        </w:rPr>
      </w:pPr>
      <w:r>
        <w:rPr>
          <w:u w:val="single"/>
        </w:rPr>
        <w:t xml:space="preserve">TOPICAL OUTLINE </w:t>
      </w:r>
    </w:p>
    <w:p w:rsidR="004E11B1" w:rsidRDefault="004E11B1" w:rsidP="004E11B1">
      <w:pPr>
        <w:keepNext/>
        <w:rPr>
          <w:u w:val="single"/>
        </w:rPr>
      </w:pPr>
    </w:p>
    <w:p w:rsidR="004E11B1" w:rsidRDefault="004E11B1" w:rsidP="004E11B1">
      <w:pPr>
        <w:keepNext/>
        <w:numPr>
          <w:ilvl w:val="0"/>
          <w:numId w:val="4"/>
        </w:numPr>
        <w:tabs>
          <w:tab w:val="left" w:pos="1170"/>
        </w:tabs>
        <w:ind w:hanging="810"/>
      </w:pPr>
      <w:r>
        <w:t>Principles of quality improvement</w:t>
      </w:r>
    </w:p>
    <w:p w:rsidR="004E11B1" w:rsidRDefault="004E11B1" w:rsidP="004E11B1">
      <w:pPr>
        <w:keepNext/>
        <w:numPr>
          <w:ilvl w:val="0"/>
          <w:numId w:val="4"/>
        </w:numPr>
        <w:tabs>
          <w:tab w:val="left" w:pos="1170"/>
        </w:tabs>
        <w:ind w:hanging="810"/>
      </w:pPr>
      <w:r>
        <w:t>Models for improvement</w:t>
      </w:r>
    </w:p>
    <w:p w:rsidR="004E11B1" w:rsidRDefault="004E11B1" w:rsidP="004E11B1">
      <w:pPr>
        <w:keepNext/>
        <w:numPr>
          <w:ilvl w:val="0"/>
          <w:numId w:val="4"/>
        </w:numPr>
        <w:ind w:hanging="810"/>
      </w:pPr>
      <w:r>
        <w:t>Root cause and systems analysis</w:t>
      </w:r>
    </w:p>
    <w:p w:rsidR="004E11B1" w:rsidRDefault="004E11B1" w:rsidP="004E11B1">
      <w:pPr>
        <w:keepNext/>
        <w:numPr>
          <w:ilvl w:val="0"/>
          <w:numId w:val="4"/>
        </w:numPr>
        <w:ind w:hanging="810"/>
      </w:pPr>
      <w:r>
        <w:t>Measuring for improvement</w:t>
      </w:r>
    </w:p>
    <w:p w:rsidR="004E11B1" w:rsidRDefault="004E11B1" w:rsidP="004E11B1">
      <w:pPr>
        <w:keepNext/>
        <w:numPr>
          <w:ilvl w:val="0"/>
          <w:numId w:val="4"/>
        </w:numPr>
        <w:ind w:hanging="810"/>
      </w:pPr>
      <w:r>
        <w:t>Continuous quality improvement process</w:t>
      </w:r>
    </w:p>
    <w:p w:rsidR="004E11B1" w:rsidRDefault="004E11B1" w:rsidP="004E11B1">
      <w:pPr>
        <w:keepNext/>
        <w:numPr>
          <w:ilvl w:val="1"/>
          <w:numId w:val="4"/>
        </w:numPr>
        <w:ind w:hanging="450"/>
      </w:pPr>
      <w:r>
        <w:t>PDSA cycles</w:t>
      </w:r>
    </w:p>
    <w:p w:rsidR="004E11B1" w:rsidRDefault="004E11B1" w:rsidP="004E11B1">
      <w:pPr>
        <w:keepNext/>
        <w:numPr>
          <w:ilvl w:val="1"/>
          <w:numId w:val="4"/>
        </w:numPr>
        <w:ind w:hanging="450"/>
      </w:pPr>
      <w:r>
        <w:t>Run Charts</w:t>
      </w:r>
    </w:p>
    <w:p w:rsidR="004E11B1" w:rsidRDefault="004E11B1" w:rsidP="004E11B1">
      <w:pPr>
        <w:keepNext/>
        <w:numPr>
          <w:ilvl w:val="0"/>
          <w:numId w:val="4"/>
        </w:numPr>
        <w:ind w:hanging="810"/>
      </w:pPr>
      <w:r>
        <w:t>Quality, cost, and value in health care</w:t>
      </w:r>
    </w:p>
    <w:p w:rsidR="004E11B1" w:rsidRDefault="004E11B1" w:rsidP="004E11B1">
      <w:pPr>
        <w:keepNext/>
        <w:numPr>
          <w:ilvl w:val="0"/>
          <w:numId w:val="4"/>
        </w:numPr>
        <w:ind w:hanging="810"/>
      </w:pPr>
      <w:r>
        <w:t>Equity and population health</w:t>
      </w:r>
    </w:p>
    <w:p w:rsidR="004E11B1" w:rsidRDefault="004E11B1" w:rsidP="004E11B1">
      <w:pPr>
        <w:keepNext/>
        <w:numPr>
          <w:ilvl w:val="0"/>
          <w:numId w:val="4"/>
        </w:numPr>
        <w:ind w:hanging="810"/>
      </w:pPr>
      <w:r>
        <w:t>Leadership roles in quality improvement</w:t>
      </w:r>
    </w:p>
    <w:p w:rsidR="004E11B1" w:rsidRDefault="004E11B1" w:rsidP="004E11B1">
      <w:pPr>
        <w:keepNext/>
      </w:pPr>
    </w:p>
    <w:p w:rsidR="004E11B1" w:rsidRDefault="004E11B1" w:rsidP="004E11B1">
      <w:pPr>
        <w:keepNext/>
        <w:rPr>
          <w:u w:val="single"/>
        </w:rPr>
      </w:pPr>
      <w:r w:rsidRPr="00881D04">
        <w:rPr>
          <w:u w:val="single"/>
        </w:rPr>
        <w:t>TEACHING METHODS</w:t>
      </w:r>
    </w:p>
    <w:p w:rsidR="004E11B1" w:rsidRPr="00881D04" w:rsidRDefault="004E11B1" w:rsidP="004E11B1">
      <w:pPr>
        <w:keepNext/>
      </w:pPr>
      <w:r>
        <w:t>Assigned readings, o</w:t>
      </w:r>
      <w:r w:rsidRPr="00881D04">
        <w:t xml:space="preserve">nline </w:t>
      </w:r>
      <w:r>
        <w:t>presentations</w:t>
      </w:r>
      <w:r w:rsidRPr="00881D04">
        <w:t xml:space="preserve"> and videos, web-based modules, </w:t>
      </w:r>
      <w:r>
        <w:t>case studies, discussions, class participation, and peer review</w:t>
      </w:r>
    </w:p>
    <w:p w:rsidR="004E11B1" w:rsidRPr="00881D04" w:rsidRDefault="004E11B1" w:rsidP="004E11B1">
      <w:pPr>
        <w:keepNext/>
        <w:rPr>
          <w:u w:val="single"/>
        </w:rPr>
      </w:pPr>
    </w:p>
    <w:p w:rsidR="004E11B1" w:rsidRDefault="004E11B1" w:rsidP="004E11B1">
      <w:pPr>
        <w:keepNext/>
        <w:rPr>
          <w:u w:val="single"/>
        </w:rPr>
      </w:pPr>
      <w:r w:rsidRPr="00881D04">
        <w:rPr>
          <w:u w:val="single"/>
        </w:rPr>
        <w:t>LEARNING ACTIVITIES</w:t>
      </w:r>
    </w:p>
    <w:p w:rsidR="004E11B1" w:rsidRPr="00881D04" w:rsidRDefault="004E11B1" w:rsidP="004E11B1">
      <w:pPr>
        <w:keepNext/>
      </w:pPr>
      <w:r w:rsidRPr="00881D04">
        <w:t xml:space="preserve">Online group discussion and critique, </w:t>
      </w:r>
      <w:r>
        <w:t xml:space="preserve">online modules, and </w:t>
      </w:r>
      <w:r w:rsidRPr="00881D04">
        <w:t>individual papers</w:t>
      </w:r>
    </w:p>
    <w:p w:rsidR="004E11B1" w:rsidRDefault="004E11B1" w:rsidP="004E11B1">
      <w:pPr>
        <w:rPr>
          <w:u w:val="single"/>
        </w:rPr>
      </w:pPr>
    </w:p>
    <w:p w:rsidR="004E11B1" w:rsidRDefault="004E11B1" w:rsidP="004E0981">
      <w:pPr>
        <w:keepNext/>
        <w:rPr>
          <w:u w:val="single"/>
        </w:rPr>
      </w:pPr>
    </w:p>
    <w:p w:rsidR="002A2F03" w:rsidRDefault="002A2F03" w:rsidP="004E0981">
      <w:pPr>
        <w:keepNext/>
        <w:rPr>
          <w:u w:val="single"/>
        </w:rPr>
      </w:pPr>
    </w:p>
    <w:p w:rsidR="00DE7895" w:rsidRDefault="00DE7895" w:rsidP="004E0981">
      <w:pPr>
        <w:keepNext/>
        <w:rPr>
          <w:u w:val="single"/>
        </w:rPr>
      </w:pPr>
      <w:r>
        <w:rPr>
          <w:u w:val="single"/>
        </w:rPr>
        <w:t>EVALUATION</w:t>
      </w:r>
      <w:r w:rsidR="002D059E">
        <w:rPr>
          <w:u w:val="single"/>
        </w:rPr>
        <w:t xml:space="preserve"> METHODS/COURSE GRADE CALCULATION</w:t>
      </w:r>
    </w:p>
    <w:p w:rsidR="004E11B1" w:rsidRDefault="004E11B1" w:rsidP="004E11B1">
      <w:pPr>
        <w:ind w:firstLine="720"/>
      </w:pPr>
      <w:r>
        <w:t>IHI Open School</w:t>
      </w:r>
      <w:r w:rsidR="001E3176">
        <w:t xml:space="preserve"> (</w:t>
      </w:r>
      <w:r w:rsidR="0037561F">
        <w:t>10</w:t>
      </w:r>
      <w:r w:rsidR="001E3176">
        <w:t xml:space="preserve"> lessons)</w:t>
      </w:r>
      <w:r>
        <w:tab/>
      </w:r>
      <w:r>
        <w:tab/>
      </w:r>
      <w:r w:rsidR="002A2F03">
        <w:t>2</w:t>
      </w:r>
      <w:r w:rsidR="005A737D">
        <w:t>0</w:t>
      </w:r>
      <w:r>
        <w:t>%</w:t>
      </w:r>
    </w:p>
    <w:p w:rsidR="004E11B1" w:rsidRDefault="004E11B1" w:rsidP="002A2F03">
      <w:r>
        <w:tab/>
        <w:t>Case Studies</w:t>
      </w:r>
      <w:r w:rsidR="005A737D">
        <w:t xml:space="preserve"> (2)</w:t>
      </w:r>
      <w:r>
        <w:t xml:space="preserve"> </w:t>
      </w:r>
      <w:r>
        <w:tab/>
      </w:r>
      <w:r>
        <w:tab/>
      </w:r>
      <w:r>
        <w:tab/>
      </w:r>
      <w:r w:rsidR="005A737D">
        <w:t>2</w:t>
      </w:r>
      <w:r>
        <w:t>0%</w:t>
      </w:r>
    </w:p>
    <w:p w:rsidR="002A2F03" w:rsidRDefault="002A2F03" w:rsidP="002A2F03">
      <w:r>
        <w:tab/>
        <w:t>Discussions</w:t>
      </w:r>
      <w:r w:rsidR="005A737D">
        <w:t xml:space="preserve"> (</w:t>
      </w:r>
      <w:r w:rsidR="00D81335">
        <w:t xml:space="preserve">Intro + </w:t>
      </w:r>
      <w:r w:rsidR="001E3176">
        <w:t>2</w:t>
      </w:r>
      <w:r w:rsidR="005A737D">
        <w:t>)</w:t>
      </w:r>
      <w:r>
        <w:tab/>
      </w:r>
      <w:r>
        <w:tab/>
      </w:r>
      <w:r w:rsidR="005A737D">
        <w:t>20</w:t>
      </w:r>
      <w:r>
        <w:t>%</w:t>
      </w:r>
    </w:p>
    <w:p w:rsidR="004E11B1" w:rsidRDefault="004E11B1" w:rsidP="002A2F03">
      <w:pPr>
        <w:tabs>
          <w:tab w:val="left" w:pos="720"/>
        </w:tabs>
        <w:rPr>
          <w:u w:val="single"/>
        </w:rPr>
      </w:pPr>
      <w:r>
        <w:tab/>
      </w:r>
      <w:r w:rsidR="002A2F03">
        <w:t>Final QI paper</w:t>
      </w:r>
      <w:r w:rsidR="002A2F03">
        <w:tab/>
      </w:r>
      <w:r w:rsidR="002A2F03">
        <w:tab/>
      </w:r>
      <w:r w:rsidR="002A2F03">
        <w:tab/>
      </w:r>
      <w:r w:rsidR="002A2F03">
        <w:tab/>
      </w:r>
      <w:r w:rsidR="005A737D">
        <w:rPr>
          <w:u w:val="single"/>
        </w:rPr>
        <w:t>30</w:t>
      </w:r>
      <w:r w:rsidR="002A2F03" w:rsidRPr="002A2F03">
        <w:rPr>
          <w:u w:val="single"/>
        </w:rPr>
        <w:t>%</w:t>
      </w:r>
    </w:p>
    <w:p w:rsidR="005A737D" w:rsidRDefault="005A737D" w:rsidP="002A2F03">
      <w:pPr>
        <w:tabs>
          <w:tab w:val="left" w:pos="720"/>
        </w:tabs>
      </w:pPr>
      <w:r>
        <w:tab/>
      </w:r>
      <w:r>
        <w:tab/>
        <w:t>Part 1 (15%)</w:t>
      </w:r>
    </w:p>
    <w:p w:rsidR="005A737D" w:rsidRPr="005A737D" w:rsidRDefault="005A737D" w:rsidP="002A2F03">
      <w:pPr>
        <w:tabs>
          <w:tab w:val="left" w:pos="720"/>
        </w:tabs>
      </w:pPr>
      <w:r>
        <w:tab/>
      </w:r>
      <w:r>
        <w:tab/>
        <w:t>Part 2 (15%)</w:t>
      </w:r>
    </w:p>
    <w:p w:rsidR="004E11B1" w:rsidRDefault="004E11B1" w:rsidP="004E11B1">
      <w:r>
        <w:tab/>
      </w:r>
      <w:r>
        <w:tab/>
      </w:r>
      <w:r>
        <w:tab/>
      </w:r>
      <w:r>
        <w:tab/>
      </w:r>
      <w:r>
        <w:tab/>
        <w:t>Total</w:t>
      </w:r>
      <w:r>
        <w:tab/>
        <w:t>100%</w:t>
      </w:r>
    </w:p>
    <w:p w:rsidR="002D2D23" w:rsidRDefault="002D2D23" w:rsidP="003D5C55"/>
    <w:p w:rsidR="009638E3" w:rsidRDefault="009638E3" w:rsidP="009638E3">
      <w:pPr>
        <w:keepNext/>
        <w:rPr>
          <w:u w:val="single"/>
        </w:rPr>
      </w:pPr>
      <w:r>
        <w:rPr>
          <w:u w:val="single"/>
        </w:rPr>
        <w:t>MAKE UP POLICY</w:t>
      </w:r>
    </w:p>
    <w:p w:rsidR="004E11B1" w:rsidRDefault="004E11B1" w:rsidP="004E11B1"/>
    <w:p w:rsidR="00A575BC" w:rsidRDefault="00A575BC" w:rsidP="00A575BC">
      <w:pPr>
        <w:keepNext/>
      </w:pPr>
      <w:r w:rsidRPr="00C124F1">
        <w:rPr>
          <w:rFonts w:eastAsiaTheme="minorHAnsi"/>
        </w:rPr>
        <w:t>All assignments will have posted due dates to allow for adequate time for completion.</w:t>
      </w:r>
      <w:r>
        <w:rPr>
          <w:rFonts w:eastAsiaTheme="minorHAnsi"/>
        </w:rPr>
        <w:t xml:space="preserve"> </w:t>
      </w:r>
      <w:r w:rsidR="004E11B1">
        <w:t xml:space="preserve">Students must submit completed assignments electronically through E-Learning (Canvas) by the assignment due date, which is the last Sunday in a given module at 11:59 pm Eastern Time.  </w:t>
      </w:r>
      <w:r w:rsidR="004E11B1">
        <w:rPr>
          <w:u w:val="single"/>
        </w:rPr>
        <w:t xml:space="preserve">Students are expected to plan in advance and submit assignments by the due dates. </w:t>
      </w:r>
      <w:r w:rsidR="004E11B1" w:rsidRPr="009A4FC4">
        <w:rPr>
          <w:rFonts w:eastAsia="Calibri"/>
          <w:b/>
        </w:rPr>
        <w:t>There will be a 10% deduction per day on late assignments</w:t>
      </w:r>
      <w:r w:rsidR="004E11B1">
        <w:rPr>
          <w:rFonts w:eastAsia="Calibri"/>
        </w:rPr>
        <w:t xml:space="preserve"> (i.e. if an assignment is worth 10 points and you would receive an 8/10 but are two days late, you will receive a 6/10 on that assignment). After 3 days, you will receive a zero on the assignment unless you have spoken with the instructor and arrangements have been made. </w:t>
      </w:r>
      <w:r w:rsidR="004E11B1">
        <w:t xml:space="preserve">Please contact your faculty member prior to a due date if there is an emergency that will prevent you from submitting </w:t>
      </w:r>
      <w:r>
        <w:t>an assignment by the deadline. Arrangements are made at the discretion of the instructor.</w:t>
      </w:r>
    </w:p>
    <w:p w:rsidR="00A575BC" w:rsidRDefault="00A575BC" w:rsidP="004E11B1"/>
    <w:p w:rsidR="0066444E" w:rsidRDefault="0066444E" w:rsidP="009528CF">
      <w:pPr>
        <w:rPr>
          <w:u w:val="single"/>
        </w:rPr>
      </w:pPr>
    </w:p>
    <w:p w:rsidR="009528CF" w:rsidRDefault="009528CF" w:rsidP="009528CF">
      <w:r w:rsidRPr="000570E6">
        <w:rPr>
          <w:u w:val="single"/>
        </w:rPr>
        <w:t>GRADING SCALE</w:t>
      </w:r>
      <w:r>
        <w:rPr>
          <w:u w:val="single"/>
        </w:rPr>
        <w:t xml:space="preserve">/QUALITY POINTS </w:t>
      </w:r>
    </w:p>
    <w:p w:rsidR="009528CF" w:rsidRDefault="009528CF" w:rsidP="009528CF">
      <w:r>
        <w:t xml:space="preserve">  </w:t>
      </w:r>
      <w:r>
        <w:tab/>
        <w:t>A</w:t>
      </w:r>
      <w:r>
        <w:tab/>
        <w:t>95-100</w:t>
      </w:r>
      <w:r>
        <w:tab/>
        <w:t>(4.0)</w:t>
      </w:r>
      <w:r>
        <w:tab/>
      </w:r>
      <w:r>
        <w:tab/>
        <w:t>C</w:t>
      </w:r>
      <w:r>
        <w:tab/>
        <w:t>74-79* (2.0)</w:t>
      </w:r>
    </w:p>
    <w:p w:rsidR="009528CF" w:rsidRDefault="009528CF" w:rsidP="009528CF">
      <w:r>
        <w:tab/>
        <w:t>A-</w:t>
      </w:r>
      <w:r>
        <w:tab/>
        <w:t>93-94   (3.67)</w:t>
      </w:r>
      <w:r>
        <w:tab/>
      </w:r>
      <w:r>
        <w:tab/>
        <w:t>C-</w:t>
      </w:r>
      <w:r>
        <w:tab/>
        <w:t>72-73   (1.67)</w:t>
      </w:r>
    </w:p>
    <w:p w:rsidR="009528CF" w:rsidRDefault="009528CF" w:rsidP="009528CF">
      <w:pPr>
        <w:ind w:firstLine="720"/>
      </w:pPr>
      <w:r>
        <w:t>B+</w:t>
      </w:r>
      <w:r>
        <w:tab/>
        <w:t>91- 92</w:t>
      </w:r>
      <w:r>
        <w:tab/>
        <w:t>(3.33)</w:t>
      </w:r>
      <w:r>
        <w:tab/>
      </w:r>
      <w:r>
        <w:tab/>
        <w:t>D+</w:t>
      </w:r>
      <w:r>
        <w:tab/>
        <w:t>70-71   (1.33)</w:t>
      </w:r>
    </w:p>
    <w:p w:rsidR="009528CF" w:rsidRDefault="009528CF" w:rsidP="009528CF">
      <w:r>
        <w:tab/>
        <w:t>B</w:t>
      </w:r>
      <w:r>
        <w:tab/>
        <w:t>84-90</w:t>
      </w:r>
      <w:r>
        <w:tab/>
        <w:t>(3.0)</w:t>
      </w:r>
      <w:r>
        <w:tab/>
      </w:r>
      <w:r>
        <w:tab/>
        <w:t>D</w:t>
      </w:r>
      <w:r>
        <w:tab/>
        <w:t>64-69   (1.0)</w:t>
      </w:r>
    </w:p>
    <w:p w:rsidR="009528CF" w:rsidRDefault="009528CF" w:rsidP="009528CF">
      <w:r>
        <w:tab/>
        <w:t>B-</w:t>
      </w:r>
      <w:r>
        <w:tab/>
        <w:t>82-83</w:t>
      </w:r>
      <w:r>
        <w:tab/>
        <w:t>(2.67)</w:t>
      </w:r>
      <w:r>
        <w:tab/>
      </w:r>
      <w:r>
        <w:tab/>
        <w:t>D-</w:t>
      </w:r>
      <w:r>
        <w:tab/>
        <w:t>62-63   (0.67)</w:t>
      </w:r>
    </w:p>
    <w:p w:rsidR="009528CF" w:rsidRDefault="009528CF" w:rsidP="009528CF">
      <w:r>
        <w:tab/>
        <w:t>C+</w:t>
      </w:r>
      <w:r>
        <w:tab/>
        <w:t>80-81</w:t>
      </w:r>
      <w:r>
        <w:tab/>
        <w:t>(2.33)</w:t>
      </w:r>
      <w:r>
        <w:tab/>
      </w:r>
      <w:r>
        <w:tab/>
        <w:t>E</w:t>
      </w:r>
      <w:r>
        <w:tab/>
        <w:t>61 or below (0.0)</w:t>
      </w:r>
    </w:p>
    <w:p w:rsidR="009528CF" w:rsidRDefault="009528CF" w:rsidP="009528CF">
      <w:r>
        <w:t xml:space="preserve">    </w:t>
      </w:r>
      <w:r>
        <w:tab/>
      </w:r>
      <w:r>
        <w:tab/>
        <w:t>* 74 is the minimal passing grade</w:t>
      </w:r>
    </w:p>
    <w:p w:rsidR="004E11B1" w:rsidRDefault="004E11B1" w:rsidP="001A2393"/>
    <w:p w:rsidR="001A2393" w:rsidRPr="009E3ADD" w:rsidRDefault="001A2393" w:rsidP="001A2393">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rsidR="002D059E" w:rsidRDefault="002D059E" w:rsidP="009528CF"/>
    <w:p w:rsidR="00107BAA" w:rsidRPr="00366146" w:rsidRDefault="00107BAA" w:rsidP="00107BAA">
      <w:pPr>
        <w:pStyle w:val="Default"/>
        <w:rPr>
          <w:u w:val="single"/>
        </w:rPr>
      </w:pPr>
      <w:r w:rsidRPr="00366146">
        <w:rPr>
          <w:bCs/>
          <w:u w:val="single"/>
        </w:rPr>
        <w:t xml:space="preserve">PROFESSIONAL BEHAVIOR </w:t>
      </w:r>
    </w:p>
    <w:p w:rsidR="004E11B1" w:rsidRDefault="004E11B1" w:rsidP="004E11B1">
      <w:pPr>
        <w:pStyle w:val="Default"/>
      </w:pPr>
    </w:p>
    <w:p w:rsidR="00107BAA" w:rsidRPr="00366146" w:rsidRDefault="00107BAA" w:rsidP="004E11B1">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w:t>
      </w:r>
      <w:r w:rsidRPr="00366146">
        <w:rPr>
          <w:bCs/>
        </w:rPr>
        <w:lastRenderedPageBreak/>
        <w:t xml:space="preserve">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107BAA" w:rsidRPr="00366146" w:rsidRDefault="00107BAA" w:rsidP="00107BAA">
      <w:pPr>
        <w:pStyle w:val="Default"/>
      </w:pPr>
    </w:p>
    <w:p w:rsidR="005865D2" w:rsidRPr="005865D2" w:rsidRDefault="005865D2" w:rsidP="005865D2">
      <w:pPr>
        <w:autoSpaceDE w:val="0"/>
        <w:autoSpaceDN w:val="0"/>
        <w:rPr>
          <w:rFonts w:eastAsiaTheme="minorHAnsi"/>
          <w:color w:val="000000"/>
        </w:rPr>
      </w:pPr>
      <w:r w:rsidRPr="005865D2">
        <w:rPr>
          <w:rFonts w:eastAsiaTheme="minorHAnsi"/>
          <w:color w:val="000000"/>
          <w:u w:val="single"/>
        </w:rPr>
        <w:t>UNIVERSITY POLICY ON ACADEMIC MISCONDUCT</w:t>
      </w:r>
    </w:p>
    <w:p w:rsidR="005865D2" w:rsidRPr="005865D2" w:rsidRDefault="005865D2" w:rsidP="005865D2">
      <w:pPr>
        <w:autoSpaceDE w:val="0"/>
        <w:autoSpaceDN w:val="0"/>
        <w:rPr>
          <w:rFonts w:eastAsiaTheme="minorHAnsi"/>
          <w:color w:val="000000"/>
        </w:rPr>
      </w:pPr>
      <w:r w:rsidRPr="005865D2">
        <w:rPr>
          <w:rFonts w:eastAsiaTheme="minorHAnsi"/>
          <w:color w:val="000000"/>
        </w:rPr>
        <w:t xml:space="preserve">Academic honesty and integrity are fundamental values of the University community. Students should be sure that they understand the UF Student Honor Code at </w:t>
      </w:r>
      <w:hyperlink r:id="rId13" w:history="1">
        <w:r w:rsidRPr="005865D2">
          <w:rPr>
            <w:rFonts w:eastAsiaTheme="minorHAnsi"/>
            <w:color w:val="339933"/>
            <w:u w:val="single"/>
          </w:rPr>
          <w:t>https://sccr.dso.ufl.edu/process/student-conduct-code/</w:t>
        </w:r>
      </w:hyperlink>
      <w:r w:rsidRPr="005865D2">
        <w:rPr>
          <w:rFonts w:eastAsiaTheme="minorHAnsi"/>
          <w:color w:val="7030A0"/>
        </w:rPr>
        <w:t>.</w:t>
      </w:r>
      <w:r w:rsidRPr="005865D2">
        <w:rPr>
          <w:rFonts w:eastAsiaTheme="minorHAnsi"/>
          <w:color w:val="000000"/>
        </w:rPr>
        <w:t xml:space="preserve">  Students are required to provide their own privacy screen for all examination’s administered to student laptops. No wireless keyboards or wireless mouse/tracking device will be permitted during examinations.  </w:t>
      </w:r>
    </w:p>
    <w:p w:rsidR="005865D2" w:rsidRPr="005865D2" w:rsidRDefault="005865D2" w:rsidP="005865D2">
      <w:pPr>
        <w:autoSpaceDE w:val="0"/>
        <w:autoSpaceDN w:val="0"/>
        <w:rPr>
          <w:rFonts w:eastAsiaTheme="minorHAnsi"/>
          <w:color w:val="000000"/>
        </w:rPr>
      </w:pPr>
    </w:p>
    <w:p w:rsidR="005865D2" w:rsidRPr="005865D2" w:rsidRDefault="005865D2" w:rsidP="005865D2">
      <w:pPr>
        <w:rPr>
          <w:rFonts w:ascii="Verdana" w:eastAsiaTheme="minorHAnsi" w:hAnsi="Verdana"/>
          <w:color w:val="000000"/>
        </w:rPr>
      </w:pPr>
      <w:r w:rsidRPr="005865D2">
        <w:rPr>
          <w:rFonts w:eastAsiaTheme="minorHAnsi"/>
          <w:caps/>
          <w:color w:val="000000"/>
          <w:u w:val="single"/>
        </w:rPr>
        <w:t xml:space="preserve">University and College of Nursing Policies  </w:t>
      </w:r>
    </w:p>
    <w:p w:rsidR="005865D2" w:rsidRPr="005865D2" w:rsidRDefault="005865D2" w:rsidP="005865D2">
      <w:pPr>
        <w:rPr>
          <w:rFonts w:eastAsiaTheme="minorHAnsi"/>
          <w:color w:val="339933"/>
          <w:u w:val="single"/>
        </w:rPr>
      </w:pPr>
      <w:r w:rsidRPr="005865D2">
        <w:rPr>
          <w:rFonts w:eastAsiaTheme="minorHAnsi"/>
          <w:color w:val="000000"/>
        </w:rPr>
        <w:t>Please see the College of Nursing website for student policies (</w:t>
      </w:r>
      <w:hyperlink r:id="rId14" w:history="1">
        <w:r w:rsidRPr="005865D2">
          <w:rPr>
            <w:rFonts w:eastAsiaTheme="minorHAnsi"/>
            <w:color w:val="339933"/>
            <w:u w:val="single"/>
          </w:rPr>
          <w:t>http://students.nursing.ufl.edu/currently-enrolled/student-policies-and-handbooks/</w:t>
        </w:r>
      </w:hyperlink>
      <w:r w:rsidRPr="005865D2">
        <w:rPr>
          <w:rFonts w:eastAsiaTheme="minorHAnsi"/>
          <w:color w:val="000000"/>
        </w:rPr>
        <w:t>) and a full explanation of each of the university policies – (</w:t>
      </w:r>
      <w:hyperlink r:id="rId15" w:history="1">
        <w:r w:rsidRPr="005865D2">
          <w:rPr>
            <w:rFonts w:eastAsiaTheme="minorHAnsi"/>
            <w:color w:val="339933"/>
            <w:u w:val="single"/>
          </w:rPr>
          <w:t>http://students.nursing.ufl.edu/currently-enrolled/course-syllabi/course-policies</w:t>
        </w:r>
      </w:hyperlink>
      <w:r w:rsidRPr="005865D2">
        <w:rPr>
          <w:rFonts w:eastAsiaTheme="minorHAnsi"/>
          <w:color w:val="339933"/>
          <w:u w:val="single"/>
        </w:rPr>
        <w:t>)</w:t>
      </w:r>
    </w:p>
    <w:p w:rsidR="005865D2" w:rsidRPr="005865D2" w:rsidRDefault="005865D2" w:rsidP="005865D2">
      <w:pPr>
        <w:rPr>
          <w:rFonts w:ascii="Verdana" w:eastAsiaTheme="minorHAnsi" w:hAnsi="Verdana"/>
          <w:color w:val="000000"/>
        </w:rPr>
      </w:pPr>
      <w:r w:rsidRPr="005865D2">
        <w:rPr>
          <w:rFonts w:eastAsiaTheme="minorHAnsi"/>
          <w:color w:val="000000"/>
        </w:rPr>
        <w:t>Attendance</w:t>
      </w:r>
    </w:p>
    <w:p w:rsidR="005865D2" w:rsidRPr="005865D2" w:rsidRDefault="005865D2" w:rsidP="005865D2">
      <w:pPr>
        <w:rPr>
          <w:rFonts w:ascii="Verdana" w:eastAsiaTheme="minorHAnsi" w:hAnsi="Verdana"/>
          <w:color w:val="000000"/>
        </w:rPr>
      </w:pPr>
      <w:r w:rsidRPr="005865D2">
        <w:rPr>
          <w:rFonts w:eastAsiaTheme="minorHAnsi"/>
          <w:color w:val="000000"/>
        </w:rPr>
        <w:t>UF Grading Policy</w:t>
      </w:r>
    </w:p>
    <w:p w:rsidR="005865D2" w:rsidRPr="005865D2" w:rsidRDefault="005865D2" w:rsidP="005865D2">
      <w:pPr>
        <w:rPr>
          <w:rFonts w:ascii="Verdana" w:eastAsiaTheme="minorHAnsi" w:hAnsi="Verdana"/>
          <w:color w:val="000000"/>
        </w:rPr>
      </w:pPr>
      <w:r w:rsidRPr="005865D2">
        <w:rPr>
          <w:rFonts w:eastAsiaTheme="minorHAnsi"/>
          <w:color w:val="000000"/>
        </w:rPr>
        <w:t>Accommodations due to Disability</w:t>
      </w:r>
    </w:p>
    <w:p w:rsidR="005865D2" w:rsidRPr="005865D2" w:rsidRDefault="005865D2" w:rsidP="005865D2">
      <w:pPr>
        <w:rPr>
          <w:rFonts w:ascii="Verdana" w:eastAsiaTheme="minorHAnsi" w:hAnsi="Verdana"/>
          <w:color w:val="000000"/>
        </w:rPr>
      </w:pPr>
      <w:r w:rsidRPr="005865D2">
        <w:rPr>
          <w:rFonts w:eastAsiaTheme="minorHAnsi"/>
          <w:color w:val="000000"/>
        </w:rPr>
        <w:t>Religious Holidays</w:t>
      </w:r>
    </w:p>
    <w:p w:rsidR="005865D2" w:rsidRPr="005865D2" w:rsidRDefault="005865D2" w:rsidP="005865D2">
      <w:pPr>
        <w:rPr>
          <w:rFonts w:ascii="Verdana" w:eastAsiaTheme="minorHAnsi" w:hAnsi="Verdana"/>
          <w:color w:val="000000"/>
        </w:rPr>
      </w:pPr>
      <w:r w:rsidRPr="005865D2">
        <w:rPr>
          <w:rFonts w:eastAsiaTheme="minorHAnsi"/>
          <w:color w:val="000000"/>
        </w:rPr>
        <w:t>Counseling and Mental Health Services</w:t>
      </w:r>
    </w:p>
    <w:p w:rsidR="005865D2" w:rsidRPr="005865D2" w:rsidRDefault="005865D2" w:rsidP="005865D2">
      <w:pPr>
        <w:rPr>
          <w:rFonts w:ascii="Verdana" w:eastAsiaTheme="minorHAnsi" w:hAnsi="Verdana"/>
          <w:color w:val="000000"/>
        </w:rPr>
      </w:pPr>
      <w:r w:rsidRPr="005865D2">
        <w:rPr>
          <w:rFonts w:eastAsiaTheme="minorHAnsi"/>
          <w:color w:val="000000"/>
        </w:rPr>
        <w:t>Student Handbook</w:t>
      </w:r>
    </w:p>
    <w:p w:rsidR="005865D2" w:rsidRPr="005865D2" w:rsidRDefault="005865D2" w:rsidP="005865D2">
      <w:pPr>
        <w:rPr>
          <w:rFonts w:ascii="Verdana" w:eastAsiaTheme="minorHAnsi" w:hAnsi="Verdana"/>
          <w:color w:val="000000"/>
        </w:rPr>
      </w:pPr>
      <w:r w:rsidRPr="005865D2">
        <w:rPr>
          <w:rFonts w:eastAsiaTheme="minorHAnsi"/>
          <w:color w:val="000000"/>
        </w:rPr>
        <w:t>Faculty Evaluations</w:t>
      </w:r>
    </w:p>
    <w:p w:rsidR="005865D2" w:rsidRPr="005865D2" w:rsidRDefault="005865D2" w:rsidP="005865D2">
      <w:pPr>
        <w:rPr>
          <w:rFonts w:ascii="Verdana" w:eastAsiaTheme="minorHAnsi" w:hAnsi="Verdana"/>
          <w:color w:val="000000"/>
        </w:rPr>
      </w:pPr>
      <w:r w:rsidRPr="005865D2">
        <w:rPr>
          <w:rFonts w:eastAsiaTheme="minorHAnsi"/>
          <w:color w:val="000000"/>
        </w:rPr>
        <w:t>Student Use of Social Media</w:t>
      </w:r>
    </w:p>
    <w:p w:rsidR="005865D2" w:rsidRPr="005865D2" w:rsidRDefault="005865D2" w:rsidP="005865D2">
      <w:pPr>
        <w:rPr>
          <w:rFonts w:eastAsiaTheme="minorHAnsi"/>
          <w:color w:val="000000"/>
          <w:u w:val="single"/>
        </w:rPr>
      </w:pPr>
    </w:p>
    <w:p w:rsidR="005865D2" w:rsidRPr="005865D2" w:rsidRDefault="005865D2" w:rsidP="005865D2">
      <w:pPr>
        <w:rPr>
          <w:rFonts w:eastAsiaTheme="minorHAnsi"/>
          <w:color w:val="000000"/>
          <w:u w:val="single"/>
        </w:rPr>
      </w:pPr>
      <w:r w:rsidRPr="005865D2">
        <w:rPr>
          <w:rFonts w:eastAsiaTheme="minorHAnsi"/>
          <w:color w:val="000000"/>
          <w:u w:val="single"/>
        </w:rPr>
        <w:t>DISABILITY STATEMENT</w:t>
      </w:r>
    </w:p>
    <w:p w:rsidR="005865D2" w:rsidRPr="005865D2" w:rsidRDefault="005865D2" w:rsidP="005865D2">
      <w:pPr>
        <w:rPr>
          <w:rFonts w:eastAsiaTheme="minorHAnsi"/>
          <w:color w:val="000000"/>
        </w:rPr>
      </w:pPr>
      <w:r w:rsidRPr="005865D2">
        <w:rPr>
          <w:rFonts w:eastAsiaTheme="minorHAnsi"/>
          <w:color w:val="000000"/>
        </w:rPr>
        <w:t xml:space="preserve">Students who wish to obtain individual accommodations due to special learning needs must register with the University </w:t>
      </w:r>
      <w:proofErr w:type="gramStart"/>
      <w:r w:rsidRPr="005865D2">
        <w:rPr>
          <w:rFonts w:eastAsiaTheme="minorHAnsi"/>
          <w:color w:val="000000"/>
        </w:rPr>
        <w:t>of</w:t>
      </w:r>
      <w:proofErr w:type="gramEnd"/>
      <w:r w:rsidRPr="005865D2">
        <w:rPr>
          <w:rFonts w:eastAsiaTheme="minorHAnsi"/>
          <w:color w:val="000000"/>
        </w:rPr>
        <w:t xml:space="preserve"> Florida Disability Resources Center (DRC) </w:t>
      </w:r>
      <w:r w:rsidRPr="005865D2">
        <w:rPr>
          <w:rFonts w:eastAsiaTheme="minorHAnsi"/>
          <w:b/>
          <w:bCs/>
          <w:color w:val="000000"/>
        </w:rPr>
        <w:t>at the beginning of each semester</w:t>
      </w:r>
      <w:r w:rsidRPr="005865D2">
        <w:rPr>
          <w:rFonts w:eastAsiaTheme="minorHAns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865D2">
        <w:rPr>
          <w:rFonts w:eastAsiaTheme="minorHAnsi"/>
          <w:b/>
          <w:bCs/>
          <w:color w:val="000000"/>
        </w:rPr>
        <w:t>Individual accommodations require time for the Disability Resources Center (DRC) to approve and the faculty to respond to any special learning needs</w:t>
      </w:r>
      <w:r w:rsidRPr="005865D2">
        <w:rPr>
          <w:rFonts w:eastAsiaTheme="minorHAnsi"/>
          <w:color w:val="000000"/>
        </w:rPr>
        <w:t>.  </w:t>
      </w:r>
      <w:r w:rsidRPr="005865D2">
        <w:rPr>
          <w:rFonts w:eastAsiaTheme="minorHAnsi"/>
          <w:b/>
          <w:bCs/>
          <w:color w:val="000000"/>
        </w:rPr>
        <w:t>Each semester</w:t>
      </w:r>
      <w:r w:rsidRPr="005865D2">
        <w:rPr>
          <w:rFonts w:eastAsiaTheme="minorHAnsi"/>
          <w:color w:val="000000"/>
        </w:rPr>
        <w:t xml:space="preserve">, it is the students’ responsibility to notify all their faculty of any special accommodations </w:t>
      </w:r>
      <w:r w:rsidRPr="005865D2">
        <w:rPr>
          <w:rFonts w:eastAsiaTheme="minorHAnsi"/>
          <w:b/>
          <w:bCs/>
          <w:color w:val="000000"/>
        </w:rPr>
        <w:t>once approval by the DRC for special accommodations has been made</w:t>
      </w:r>
      <w:r w:rsidRPr="005865D2">
        <w:rPr>
          <w:rFonts w:eastAsiaTheme="minorHAnsi"/>
          <w:color w:val="000000"/>
        </w:rPr>
        <w:t xml:space="preserve">.  </w:t>
      </w:r>
      <w:hyperlink r:id="rId16" w:history="1">
        <w:r w:rsidRPr="005865D2">
          <w:rPr>
            <w:rFonts w:eastAsiaTheme="minorHAnsi"/>
            <w:color w:val="339933"/>
            <w:u w:val="single"/>
          </w:rPr>
          <w:t>https://drc.dso.ufl.edu/</w:t>
        </w:r>
      </w:hyperlink>
    </w:p>
    <w:p w:rsidR="009528CF" w:rsidRDefault="009528CF" w:rsidP="004E0981">
      <w:pPr>
        <w:keepNext/>
        <w:rPr>
          <w:u w:val="single"/>
        </w:rPr>
      </w:pPr>
    </w:p>
    <w:p w:rsidR="00DE7895" w:rsidRDefault="00DE7895" w:rsidP="004E0981">
      <w:pPr>
        <w:keepNext/>
        <w:rPr>
          <w:u w:val="single"/>
        </w:rPr>
      </w:pPr>
      <w:r>
        <w:rPr>
          <w:u w:val="single"/>
        </w:rPr>
        <w:t>REQUIRED TEXT</w:t>
      </w:r>
      <w:r w:rsidR="00166A66">
        <w:rPr>
          <w:u w:val="single"/>
        </w:rPr>
        <w:t>BOOK</w:t>
      </w:r>
      <w:r>
        <w:rPr>
          <w:u w:val="single"/>
        </w:rPr>
        <w:t>S</w:t>
      </w:r>
    </w:p>
    <w:p w:rsidR="009638E3" w:rsidRDefault="009638E3" w:rsidP="005F6814">
      <w:pPr>
        <w:keepNext/>
        <w:spacing w:line="480" w:lineRule="auto"/>
        <w:ind w:left="720" w:hanging="720"/>
      </w:pPr>
      <w:proofErr w:type="spellStart"/>
      <w:r>
        <w:t>Finkelman</w:t>
      </w:r>
      <w:proofErr w:type="spellEnd"/>
      <w:r>
        <w:t xml:space="preserve">, A. (2017). </w:t>
      </w:r>
      <w:r w:rsidRPr="003746EE">
        <w:rPr>
          <w:i/>
        </w:rPr>
        <w:t>Quality improvement: A guide for integration in nursing</w:t>
      </w:r>
      <w:r>
        <w:t>. Burlington, MA: Jones &amp; Bartlett Learning.</w:t>
      </w:r>
    </w:p>
    <w:p w:rsidR="009337C6" w:rsidRDefault="00D24291" w:rsidP="005F6814">
      <w:pPr>
        <w:keepNext/>
        <w:spacing w:line="480" w:lineRule="auto"/>
        <w:ind w:left="720" w:hanging="720"/>
        <w:rPr>
          <w:u w:val="single"/>
        </w:rPr>
      </w:pPr>
      <w:bookmarkStart w:id="0" w:name="_GoBack"/>
      <w:bookmarkEnd w:id="0"/>
      <w:r>
        <w:t>Harris, J., Rousse</w:t>
      </w:r>
      <w:r w:rsidR="009638E3">
        <w:t xml:space="preserve">, L., Thomas, T., &amp; Dearman, C. (2018).  </w:t>
      </w:r>
      <w:r w:rsidR="009638E3" w:rsidRPr="003A26FF">
        <w:rPr>
          <w:i/>
        </w:rPr>
        <w:t xml:space="preserve">Project planning &amp; management: a guide for nurses and interprofessional teams </w:t>
      </w:r>
      <w:r w:rsidR="009638E3">
        <w:t>(3rd Ed.). Burlington, MA: Jones &amp; Bartlett Learning. (Available Sept 15</w:t>
      </w:r>
      <w:r w:rsidR="009638E3" w:rsidRPr="009638E3">
        <w:rPr>
          <w:vertAlign w:val="superscript"/>
        </w:rPr>
        <w:t>th</w:t>
      </w:r>
      <w:r w:rsidR="009638E3">
        <w:t xml:space="preserve"> – no assigned readings till </w:t>
      </w:r>
      <w:r>
        <w:t>October</w:t>
      </w:r>
      <w:r w:rsidR="009638E3">
        <w:t>)</w:t>
      </w:r>
    </w:p>
    <w:p w:rsidR="00D50F27" w:rsidRDefault="00D50F27" w:rsidP="00166A66">
      <w:pPr>
        <w:rPr>
          <w:u w:val="single"/>
        </w:rPr>
      </w:pPr>
    </w:p>
    <w:p w:rsidR="009638E3" w:rsidRPr="000A2EBA" w:rsidRDefault="009638E3" w:rsidP="009638E3">
      <w:pPr>
        <w:rPr>
          <w:u w:val="single"/>
        </w:rPr>
      </w:pPr>
      <w:r>
        <w:rPr>
          <w:u w:val="single"/>
        </w:rPr>
        <w:br w:type="page"/>
      </w:r>
      <w:r w:rsidRPr="000A2EBA">
        <w:rPr>
          <w:u w:val="single"/>
        </w:rPr>
        <w:lastRenderedPageBreak/>
        <w:t xml:space="preserve">WEEKLY CLASS SCHEDULE </w:t>
      </w:r>
    </w:p>
    <w:p w:rsidR="00557076" w:rsidRDefault="00557076" w:rsidP="009638E3"/>
    <w:p w:rsidR="009638E3" w:rsidRDefault="009638E3" w:rsidP="009638E3">
      <w:r>
        <w:t>Each module will include objectives, resources, lectures, discussion forum, and assignments appropriate to the learning module. See complete description of learning and evaluation activities on the course website</w:t>
      </w:r>
      <w:r w:rsidR="00557076">
        <w:t>.</w:t>
      </w:r>
    </w:p>
    <w:p w:rsidR="00557076" w:rsidRDefault="00557076" w:rsidP="009638E3"/>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4950"/>
        <w:gridCol w:w="2970"/>
      </w:tblGrid>
      <w:tr w:rsidR="00590E71" w:rsidTr="000F4C11">
        <w:trPr>
          <w:tblHeader/>
        </w:trPr>
        <w:tc>
          <w:tcPr>
            <w:tcW w:w="1890" w:type="dxa"/>
            <w:shd w:val="clear" w:color="auto" w:fill="auto"/>
          </w:tcPr>
          <w:p w:rsidR="00590E71" w:rsidRPr="00662668" w:rsidRDefault="009D7A4E" w:rsidP="00662668">
            <w:pPr>
              <w:jc w:val="center"/>
              <w:rPr>
                <w:b/>
              </w:rPr>
            </w:pPr>
            <w:r w:rsidRPr="00662668">
              <w:rPr>
                <w:b/>
              </w:rPr>
              <w:t>DATES</w:t>
            </w:r>
          </w:p>
        </w:tc>
        <w:tc>
          <w:tcPr>
            <w:tcW w:w="4950" w:type="dxa"/>
            <w:shd w:val="clear" w:color="auto" w:fill="auto"/>
          </w:tcPr>
          <w:p w:rsidR="00590E71" w:rsidRPr="00662668" w:rsidRDefault="00590E71" w:rsidP="00662668">
            <w:pPr>
              <w:jc w:val="center"/>
              <w:rPr>
                <w:b/>
              </w:rPr>
            </w:pPr>
            <w:r w:rsidRPr="00662668">
              <w:rPr>
                <w:b/>
              </w:rPr>
              <w:t>TOPIC/LEARNING ACTIVITY</w:t>
            </w:r>
          </w:p>
        </w:tc>
        <w:tc>
          <w:tcPr>
            <w:tcW w:w="2970" w:type="dxa"/>
            <w:shd w:val="clear" w:color="auto" w:fill="auto"/>
          </w:tcPr>
          <w:p w:rsidR="00590E71" w:rsidRPr="00662668" w:rsidRDefault="00590E71" w:rsidP="00662668">
            <w:pPr>
              <w:jc w:val="center"/>
              <w:rPr>
                <w:b/>
              </w:rPr>
            </w:pPr>
            <w:r w:rsidRPr="00662668">
              <w:rPr>
                <w:b/>
              </w:rPr>
              <w:t>EVALUATION</w:t>
            </w:r>
            <w:r w:rsidR="00D81335" w:rsidRPr="00662668">
              <w:rPr>
                <w:b/>
              </w:rPr>
              <w:t xml:space="preserve">  </w:t>
            </w:r>
            <w:r w:rsidRPr="00662668">
              <w:rPr>
                <w:b/>
              </w:rPr>
              <w:t>ACTIVITIES</w:t>
            </w:r>
          </w:p>
        </w:tc>
      </w:tr>
      <w:tr w:rsidR="00590E71" w:rsidTr="00590E71">
        <w:tc>
          <w:tcPr>
            <w:tcW w:w="1890" w:type="dxa"/>
            <w:shd w:val="clear" w:color="auto" w:fill="auto"/>
          </w:tcPr>
          <w:p w:rsidR="00590E71" w:rsidRPr="00590E71" w:rsidRDefault="00590E71" w:rsidP="003A26FF">
            <w:pPr>
              <w:jc w:val="center"/>
              <w:rPr>
                <w:b/>
              </w:rPr>
            </w:pPr>
          </w:p>
          <w:p w:rsidR="00590E71" w:rsidRPr="00EF7F90" w:rsidRDefault="00590E71" w:rsidP="003A26FF">
            <w:pPr>
              <w:jc w:val="center"/>
            </w:pPr>
            <w:r w:rsidRPr="00590E71">
              <w:rPr>
                <w:b/>
              </w:rPr>
              <w:t>8/22 to 8/26</w:t>
            </w:r>
          </w:p>
        </w:tc>
        <w:tc>
          <w:tcPr>
            <w:tcW w:w="4950" w:type="dxa"/>
            <w:shd w:val="clear" w:color="auto" w:fill="auto"/>
          </w:tcPr>
          <w:p w:rsidR="00590E71" w:rsidRDefault="00590E71" w:rsidP="003A26FF">
            <w:r>
              <w:t>Course Overview</w:t>
            </w:r>
          </w:p>
          <w:p w:rsidR="00590E71" w:rsidRDefault="00590E71" w:rsidP="003A26FF">
            <w:r>
              <w:t>Introductions</w:t>
            </w:r>
          </w:p>
          <w:p w:rsidR="00590E71" w:rsidRDefault="00590E71" w:rsidP="003A26FF"/>
        </w:tc>
        <w:tc>
          <w:tcPr>
            <w:tcW w:w="2970" w:type="dxa"/>
            <w:shd w:val="clear" w:color="auto" w:fill="auto"/>
          </w:tcPr>
          <w:p w:rsidR="00590E71" w:rsidRDefault="005C605B" w:rsidP="005C605B">
            <w:r>
              <w:t xml:space="preserve">Discussion Assignment #1 </w:t>
            </w:r>
            <w:r w:rsidR="00D81335">
              <w:t xml:space="preserve">Introductions </w:t>
            </w:r>
            <w:r w:rsidR="00D81335" w:rsidRPr="0037561F">
              <w:rPr>
                <w:color w:val="FF0000"/>
              </w:rPr>
              <w:t>Due 8/26</w:t>
            </w:r>
          </w:p>
        </w:tc>
      </w:tr>
      <w:tr w:rsidR="009D7A4E" w:rsidTr="009D7A4E">
        <w:tc>
          <w:tcPr>
            <w:tcW w:w="6840" w:type="dxa"/>
            <w:gridSpan w:val="2"/>
            <w:shd w:val="clear" w:color="auto" w:fill="B4C6E7" w:themeFill="accent5" w:themeFillTint="66"/>
          </w:tcPr>
          <w:p w:rsidR="009D7A4E" w:rsidRPr="009D7A4E" w:rsidRDefault="009D7A4E" w:rsidP="009D7A4E">
            <w:pPr>
              <w:jc w:val="center"/>
              <w:rPr>
                <w:b/>
              </w:rPr>
            </w:pPr>
            <w:r w:rsidRPr="009D7A4E">
              <w:rPr>
                <w:rFonts w:eastAsia="Calibri"/>
                <w:b/>
              </w:rPr>
              <w:t>Module 1: Foundations of Quality Improvement</w:t>
            </w:r>
          </w:p>
        </w:tc>
        <w:tc>
          <w:tcPr>
            <w:tcW w:w="2970" w:type="dxa"/>
            <w:shd w:val="clear" w:color="auto" w:fill="B4C6E7" w:themeFill="accent5" w:themeFillTint="66"/>
          </w:tcPr>
          <w:p w:rsidR="009D7A4E" w:rsidRPr="00B0747E" w:rsidRDefault="009D7A4E" w:rsidP="003A26FF">
            <w:pPr>
              <w:ind w:left="-395" w:firstLine="395"/>
            </w:pPr>
          </w:p>
        </w:tc>
      </w:tr>
      <w:tr w:rsidR="00590E71" w:rsidTr="00590E71">
        <w:tc>
          <w:tcPr>
            <w:tcW w:w="1890" w:type="dxa"/>
            <w:shd w:val="clear" w:color="auto" w:fill="auto"/>
          </w:tcPr>
          <w:p w:rsidR="00590E71" w:rsidRPr="00590E71" w:rsidRDefault="00590E71" w:rsidP="009D7A4E">
            <w:pPr>
              <w:rPr>
                <w:b/>
              </w:rPr>
            </w:pPr>
          </w:p>
          <w:p w:rsidR="00590E71" w:rsidRPr="00590E71" w:rsidRDefault="00590E71" w:rsidP="003A26FF">
            <w:pPr>
              <w:jc w:val="center"/>
              <w:rPr>
                <w:b/>
              </w:rPr>
            </w:pPr>
            <w:r w:rsidRPr="00590E71">
              <w:rPr>
                <w:rFonts w:eastAsia="Calibri"/>
                <w:b/>
              </w:rPr>
              <w:t>8/27 to 9/2</w:t>
            </w:r>
          </w:p>
          <w:p w:rsidR="00590E71" w:rsidRPr="00EF7F90" w:rsidRDefault="00590E71" w:rsidP="003A26FF">
            <w:pPr>
              <w:jc w:val="center"/>
            </w:pPr>
          </w:p>
        </w:tc>
        <w:tc>
          <w:tcPr>
            <w:tcW w:w="4950" w:type="dxa"/>
            <w:shd w:val="clear" w:color="auto" w:fill="auto"/>
          </w:tcPr>
          <w:p w:rsidR="00590E71" w:rsidRDefault="00590E71" w:rsidP="003A26FF">
            <w:pPr>
              <w:contextualSpacing/>
              <w:rPr>
                <w:rFonts w:eastAsia="Calibri"/>
              </w:rPr>
            </w:pPr>
            <w:r>
              <w:rPr>
                <w:rFonts w:eastAsia="Calibri"/>
              </w:rPr>
              <w:t>Fundamentals of Quality Improvement</w:t>
            </w:r>
          </w:p>
          <w:p w:rsidR="00590E71" w:rsidRDefault="00590E71" w:rsidP="003A26FF">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1, p. 1-42</w:t>
            </w:r>
          </w:p>
          <w:p w:rsidR="00590E71" w:rsidRDefault="00590E71" w:rsidP="003A26FF">
            <w:r>
              <w:rPr>
                <w:rFonts w:eastAsia="Calibri"/>
              </w:rPr>
              <w:t>View online module “What is QI”</w:t>
            </w:r>
          </w:p>
        </w:tc>
        <w:tc>
          <w:tcPr>
            <w:tcW w:w="2970" w:type="dxa"/>
            <w:shd w:val="clear" w:color="auto" w:fill="auto"/>
          </w:tcPr>
          <w:p w:rsidR="005C605B" w:rsidRDefault="005C605B" w:rsidP="009D7A4E">
            <w:pPr>
              <w:ind w:left="-395" w:firstLine="395"/>
            </w:pPr>
            <w:r>
              <w:t>IHI Open School lessons:</w:t>
            </w:r>
          </w:p>
          <w:p w:rsidR="009D7A4E" w:rsidRDefault="005C605B" w:rsidP="005C605B">
            <w:pPr>
              <w:pStyle w:val="ListParagraph"/>
              <w:numPr>
                <w:ilvl w:val="0"/>
                <w:numId w:val="17"/>
              </w:numPr>
            </w:pPr>
            <w:r>
              <w:t>QI</w:t>
            </w:r>
            <w:r w:rsidR="009D7A4E" w:rsidRPr="00B0747E">
              <w:t xml:space="preserve"> 101</w:t>
            </w:r>
          </w:p>
          <w:p w:rsidR="009D7A4E" w:rsidRPr="00B0747E" w:rsidRDefault="005C605B" w:rsidP="005C605B">
            <w:pPr>
              <w:pStyle w:val="ListParagraph"/>
              <w:numPr>
                <w:ilvl w:val="0"/>
                <w:numId w:val="17"/>
              </w:numPr>
            </w:pPr>
            <w:r>
              <w:t>QI 102</w:t>
            </w:r>
          </w:p>
          <w:p w:rsidR="00590E71" w:rsidRPr="00B0747E" w:rsidRDefault="00590E71" w:rsidP="00D81335">
            <w:pPr>
              <w:ind w:left="-395" w:firstLine="395"/>
            </w:pPr>
          </w:p>
        </w:tc>
      </w:tr>
      <w:tr w:rsidR="00590E71" w:rsidTr="00590E71">
        <w:tc>
          <w:tcPr>
            <w:tcW w:w="1890" w:type="dxa"/>
            <w:shd w:val="clear" w:color="auto" w:fill="auto"/>
          </w:tcPr>
          <w:p w:rsidR="00590E71" w:rsidRPr="005C605B" w:rsidRDefault="009D7A4E" w:rsidP="003A26FF">
            <w:pPr>
              <w:jc w:val="center"/>
              <w:rPr>
                <w:b/>
              </w:rPr>
            </w:pPr>
            <w:r w:rsidRPr="005C605B">
              <w:rPr>
                <w:b/>
              </w:rPr>
              <w:t>9/3 to 9/9</w:t>
            </w:r>
          </w:p>
        </w:tc>
        <w:tc>
          <w:tcPr>
            <w:tcW w:w="4950" w:type="dxa"/>
            <w:shd w:val="clear" w:color="auto" w:fill="auto"/>
          </w:tcPr>
          <w:p w:rsidR="009D7A4E" w:rsidRDefault="009D7A4E" w:rsidP="009D7A4E">
            <w:pPr>
              <w:contextualSpacing/>
              <w:rPr>
                <w:rFonts w:eastAsia="Calibri"/>
              </w:rPr>
            </w:pPr>
            <w:r>
              <w:rPr>
                <w:rFonts w:eastAsia="Calibri"/>
              </w:rPr>
              <w:t>The DNP: A Leader in Quality Improvement</w:t>
            </w:r>
          </w:p>
          <w:p w:rsidR="009D7A4E" w:rsidRDefault="009D7A4E" w:rsidP="009D7A4E">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1, p. 43-48</w:t>
            </w:r>
          </w:p>
          <w:p w:rsidR="009D7A4E" w:rsidRDefault="009D7A4E" w:rsidP="009D7A4E">
            <w:pPr>
              <w:contextualSpacing/>
              <w:rPr>
                <w:rFonts w:eastAsia="Calibri"/>
              </w:rPr>
            </w:pPr>
            <w:r>
              <w:rPr>
                <w:rFonts w:eastAsia="Calibri"/>
              </w:rPr>
              <w:t>Assigned article</w:t>
            </w:r>
          </w:p>
          <w:p w:rsidR="00590E71" w:rsidRDefault="009D7A4E" w:rsidP="009D7A4E">
            <w:r>
              <w:rPr>
                <w:rFonts w:eastAsia="Calibri"/>
              </w:rPr>
              <w:t>Mini-lecture</w:t>
            </w:r>
          </w:p>
        </w:tc>
        <w:tc>
          <w:tcPr>
            <w:tcW w:w="2970" w:type="dxa"/>
            <w:shd w:val="clear" w:color="auto" w:fill="auto"/>
          </w:tcPr>
          <w:p w:rsidR="00590E71" w:rsidRPr="005C605B" w:rsidRDefault="009D7A4E" w:rsidP="005C605B">
            <w:r w:rsidRPr="005C605B">
              <w:t xml:space="preserve">Discussion assignment #2 </w:t>
            </w:r>
          </w:p>
          <w:p w:rsidR="00077961" w:rsidRPr="00B0747E" w:rsidRDefault="00077961" w:rsidP="005C605B">
            <w:r w:rsidRPr="005C605B">
              <w:t xml:space="preserve">Leadership Aptitudes </w:t>
            </w:r>
            <w:r w:rsidR="005C605B">
              <w:t xml:space="preserve">&amp; Skills </w:t>
            </w:r>
            <w:r w:rsidRPr="0037561F">
              <w:rPr>
                <w:color w:val="FF0000"/>
              </w:rPr>
              <w:t>Due 9/9</w:t>
            </w:r>
          </w:p>
        </w:tc>
      </w:tr>
      <w:tr w:rsidR="00590E71" w:rsidTr="00590E71">
        <w:tc>
          <w:tcPr>
            <w:tcW w:w="1890" w:type="dxa"/>
            <w:shd w:val="clear" w:color="auto" w:fill="auto"/>
          </w:tcPr>
          <w:p w:rsidR="00590E71" w:rsidRPr="005C605B" w:rsidRDefault="009D7A4E" w:rsidP="003A26FF">
            <w:pPr>
              <w:jc w:val="center"/>
              <w:rPr>
                <w:b/>
              </w:rPr>
            </w:pPr>
            <w:r w:rsidRPr="005C605B">
              <w:rPr>
                <w:b/>
              </w:rPr>
              <w:t>9/10 to 9/16</w:t>
            </w:r>
          </w:p>
        </w:tc>
        <w:tc>
          <w:tcPr>
            <w:tcW w:w="4950" w:type="dxa"/>
            <w:shd w:val="clear" w:color="auto" w:fill="auto"/>
          </w:tcPr>
          <w:p w:rsidR="009D7A4E" w:rsidRDefault="009D7A4E" w:rsidP="009D7A4E">
            <w:pPr>
              <w:contextualSpacing/>
              <w:rPr>
                <w:rFonts w:eastAsia="Calibri"/>
              </w:rPr>
            </w:pPr>
            <w:r>
              <w:rPr>
                <w:rFonts w:eastAsia="Calibri"/>
              </w:rPr>
              <w:t>Patient Safety and Quality Improvement</w:t>
            </w:r>
          </w:p>
          <w:p w:rsidR="009D7A4E" w:rsidRDefault="009D7A4E" w:rsidP="009D7A4E">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7</w:t>
            </w:r>
          </w:p>
          <w:p w:rsidR="009D7A4E" w:rsidRDefault="009D7A4E" w:rsidP="009D7A4E">
            <w:pPr>
              <w:contextualSpacing/>
              <w:rPr>
                <w:rFonts w:eastAsia="Calibri"/>
              </w:rPr>
            </w:pPr>
            <w:r>
              <w:rPr>
                <w:rFonts w:eastAsia="Calibri"/>
              </w:rPr>
              <w:t>View online module “Patient Safety and QI”</w:t>
            </w:r>
          </w:p>
          <w:p w:rsidR="00590E71" w:rsidRDefault="009D7A4E" w:rsidP="009D7A4E">
            <w:r>
              <w:rPr>
                <w:rFonts w:eastAsia="Calibri"/>
              </w:rPr>
              <w:t>View video: “Winning  the War on Healthcare Harm”</w:t>
            </w:r>
          </w:p>
        </w:tc>
        <w:tc>
          <w:tcPr>
            <w:tcW w:w="2970" w:type="dxa"/>
            <w:shd w:val="clear" w:color="auto" w:fill="auto"/>
          </w:tcPr>
          <w:p w:rsidR="0037561F" w:rsidRDefault="0037561F" w:rsidP="0037561F">
            <w:pPr>
              <w:ind w:left="-395" w:firstLine="395"/>
            </w:pPr>
            <w:r>
              <w:t>IHI Open School lessons:</w:t>
            </w:r>
          </w:p>
          <w:p w:rsidR="0037561F" w:rsidRDefault="0037561F" w:rsidP="0037561F">
            <w:pPr>
              <w:pStyle w:val="ListParagraph"/>
              <w:numPr>
                <w:ilvl w:val="0"/>
                <w:numId w:val="17"/>
              </w:numPr>
            </w:pPr>
            <w:r>
              <w:t>PS</w:t>
            </w:r>
            <w:r w:rsidRPr="00B0747E">
              <w:t xml:space="preserve"> 101</w:t>
            </w:r>
          </w:p>
          <w:p w:rsidR="00590E71" w:rsidRPr="00B0747E" w:rsidRDefault="0037561F" w:rsidP="0037561F">
            <w:pPr>
              <w:pStyle w:val="ListParagraph"/>
              <w:numPr>
                <w:ilvl w:val="0"/>
                <w:numId w:val="17"/>
              </w:numPr>
            </w:pPr>
            <w:r>
              <w:t>PS 102</w:t>
            </w:r>
          </w:p>
        </w:tc>
      </w:tr>
      <w:tr w:rsidR="009D7A4E" w:rsidTr="001E3176">
        <w:tc>
          <w:tcPr>
            <w:tcW w:w="6840" w:type="dxa"/>
            <w:gridSpan w:val="2"/>
            <w:shd w:val="clear" w:color="auto" w:fill="B4C6E7" w:themeFill="accent5" w:themeFillTint="66"/>
          </w:tcPr>
          <w:p w:rsidR="009D7A4E" w:rsidRPr="009D7A4E" w:rsidRDefault="009D7A4E" w:rsidP="009D7A4E">
            <w:pPr>
              <w:jc w:val="center"/>
              <w:rPr>
                <w:b/>
              </w:rPr>
            </w:pPr>
            <w:r w:rsidRPr="009D7A4E">
              <w:rPr>
                <w:rFonts w:eastAsia="Calibri"/>
                <w:b/>
              </w:rPr>
              <w:t>Module 2: Understanding Flawed Processes</w:t>
            </w:r>
          </w:p>
        </w:tc>
        <w:tc>
          <w:tcPr>
            <w:tcW w:w="2970" w:type="dxa"/>
            <w:shd w:val="clear" w:color="auto" w:fill="B4C6E7" w:themeFill="accent5" w:themeFillTint="66"/>
          </w:tcPr>
          <w:p w:rsidR="009D7A4E" w:rsidRPr="00B0747E" w:rsidRDefault="009D7A4E" w:rsidP="003A26FF">
            <w:pPr>
              <w:ind w:left="-395" w:firstLine="395"/>
            </w:pPr>
          </w:p>
        </w:tc>
      </w:tr>
      <w:tr w:rsidR="009D7A4E" w:rsidTr="00590E71">
        <w:tc>
          <w:tcPr>
            <w:tcW w:w="1890" w:type="dxa"/>
            <w:shd w:val="clear" w:color="auto" w:fill="auto"/>
          </w:tcPr>
          <w:p w:rsidR="009D7A4E" w:rsidRPr="00662668" w:rsidRDefault="009D7A4E" w:rsidP="00662668">
            <w:pPr>
              <w:contextualSpacing/>
              <w:jc w:val="center"/>
              <w:rPr>
                <w:rFonts w:eastAsia="Calibri"/>
                <w:b/>
              </w:rPr>
            </w:pPr>
            <w:r w:rsidRPr="00662668">
              <w:rPr>
                <w:rFonts w:eastAsia="Calibri"/>
                <w:b/>
              </w:rPr>
              <w:t>9/17</w:t>
            </w:r>
            <w:r w:rsidR="001E3176" w:rsidRPr="00662668">
              <w:rPr>
                <w:rFonts w:eastAsia="Calibri"/>
                <w:b/>
              </w:rPr>
              <w:t xml:space="preserve"> to 9/</w:t>
            </w:r>
            <w:r w:rsidRPr="00662668">
              <w:rPr>
                <w:rFonts w:eastAsia="Calibri"/>
                <w:b/>
              </w:rPr>
              <w:t>23</w:t>
            </w:r>
          </w:p>
        </w:tc>
        <w:tc>
          <w:tcPr>
            <w:tcW w:w="4950" w:type="dxa"/>
            <w:shd w:val="clear" w:color="auto" w:fill="auto"/>
          </w:tcPr>
          <w:p w:rsidR="009D7A4E" w:rsidRPr="00B60476" w:rsidRDefault="009D7A4E" w:rsidP="009D7A4E">
            <w:pPr>
              <w:contextualSpacing/>
              <w:rPr>
                <w:rFonts w:eastAsia="Calibri"/>
              </w:rPr>
            </w:pPr>
            <w:r w:rsidRPr="00B60476">
              <w:rPr>
                <w:rFonts w:eastAsia="Calibri"/>
              </w:rPr>
              <w:t>Analyzing Performance Data Using Run and Control Charts</w:t>
            </w:r>
          </w:p>
          <w:p w:rsidR="009D7A4E" w:rsidRPr="00B60476" w:rsidRDefault="009D7A4E" w:rsidP="009D7A4E">
            <w:pPr>
              <w:contextualSpacing/>
              <w:rPr>
                <w:rFonts w:eastAsia="Calibri"/>
              </w:rPr>
            </w:pPr>
            <w:proofErr w:type="spellStart"/>
            <w:r w:rsidRPr="00B60476">
              <w:rPr>
                <w:rFonts w:eastAsia="Calibri"/>
              </w:rPr>
              <w:t>Finkelman</w:t>
            </w:r>
            <w:proofErr w:type="spellEnd"/>
            <w:r w:rsidRPr="00B60476">
              <w:rPr>
                <w:rFonts w:eastAsia="Calibri"/>
              </w:rPr>
              <w:t xml:space="preserve"> </w:t>
            </w:r>
            <w:proofErr w:type="spellStart"/>
            <w:r w:rsidRPr="00B60476">
              <w:rPr>
                <w:rFonts w:eastAsia="Calibri"/>
              </w:rPr>
              <w:t>Ch</w:t>
            </w:r>
            <w:proofErr w:type="spellEnd"/>
            <w:r w:rsidRPr="00B60476">
              <w:rPr>
                <w:rFonts w:eastAsia="Calibri"/>
              </w:rPr>
              <w:t xml:space="preserve"> 10 p. 341-375</w:t>
            </w:r>
          </w:p>
          <w:p w:rsidR="009D7A4E" w:rsidRDefault="009D7A4E" w:rsidP="009D7A4E">
            <w:pPr>
              <w:contextualSpacing/>
              <w:rPr>
                <w:rFonts w:eastAsia="Calibri"/>
              </w:rPr>
            </w:pPr>
            <w:r>
              <w:rPr>
                <w:rFonts w:eastAsia="Calibri"/>
              </w:rPr>
              <w:t>View</w:t>
            </w:r>
            <w:r w:rsidRPr="00B60476">
              <w:rPr>
                <w:rFonts w:eastAsia="Calibri"/>
              </w:rPr>
              <w:t xml:space="preserve"> Mini-lectures</w:t>
            </w:r>
          </w:p>
        </w:tc>
        <w:tc>
          <w:tcPr>
            <w:tcW w:w="2970" w:type="dxa"/>
            <w:shd w:val="clear" w:color="auto" w:fill="auto"/>
          </w:tcPr>
          <w:p w:rsidR="0037561F" w:rsidRDefault="0037561F" w:rsidP="0037561F">
            <w:pPr>
              <w:ind w:left="-395" w:firstLine="395"/>
            </w:pPr>
            <w:r>
              <w:t>IHI Open School lessons:</w:t>
            </w:r>
          </w:p>
          <w:p w:rsidR="0037561F" w:rsidRDefault="0037561F" w:rsidP="0037561F">
            <w:pPr>
              <w:pStyle w:val="ListParagraph"/>
              <w:numPr>
                <w:ilvl w:val="0"/>
                <w:numId w:val="17"/>
              </w:numPr>
            </w:pPr>
            <w:r>
              <w:t>QI</w:t>
            </w:r>
            <w:r w:rsidRPr="00B0747E">
              <w:t xml:space="preserve"> 10</w:t>
            </w:r>
            <w:r>
              <w:t>4</w:t>
            </w:r>
          </w:p>
          <w:p w:rsidR="0037561F" w:rsidRDefault="0037561F" w:rsidP="0037561F">
            <w:pPr>
              <w:rPr>
                <w:rFonts w:eastAsia="Calibri"/>
              </w:rPr>
            </w:pPr>
          </w:p>
          <w:p w:rsidR="009D7A4E" w:rsidRPr="00847614" w:rsidRDefault="009D7A4E" w:rsidP="0037561F">
            <w:pPr>
              <w:rPr>
                <w:rFonts w:eastAsia="Calibri"/>
              </w:rPr>
            </w:pPr>
            <w:r>
              <w:rPr>
                <w:rFonts w:eastAsia="Calibri"/>
              </w:rPr>
              <w:t>Ca</w:t>
            </w:r>
            <w:r w:rsidR="0037561F">
              <w:rPr>
                <w:rFonts w:eastAsia="Calibri"/>
              </w:rPr>
              <w:t xml:space="preserve">se Study #1 Run Chart Exercise </w:t>
            </w:r>
            <w:r w:rsidRPr="0037561F">
              <w:rPr>
                <w:rFonts w:eastAsia="Calibri"/>
                <w:color w:val="FF0000"/>
              </w:rPr>
              <w:t>Due 9/23</w:t>
            </w:r>
          </w:p>
        </w:tc>
      </w:tr>
      <w:tr w:rsidR="009D7A4E" w:rsidTr="00590E71">
        <w:tc>
          <w:tcPr>
            <w:tcW w:w="1890" w:type="dxa"/>
            <w:shd w:val="clear" w:color="auto" w:fill="auto"/>
          </w:tcPr>
          <w:p w:rsidR="009D7A4E" w:rsidRPr="00662668" w:rsidRDefault="009D7A4E" w:rsidP="00662668">
            <w:pPr>
              <w:contextualSpacing/>
              <w:jc w:val="center"/>
              <w:rPr>
                <w:rFonts w:eastAsia="Calibri"/>
                <w:b/>
              </w:rPr>
            </w:pPr>
            <w:r w:rsidRPr="00662668">
              <w:rPr>
                <w:rFonts w:eastAsia="Calibri"/>
                <w:b/>
              </w:rPr>
              <w:t>9/24</w:t>
            </w:r>
            <w:r w:rsidR="001E3176" w:rsidRPr="00662668">
              <w:rPr>
                <w:rFonts w:eastAsia="Calibri"/>
                <w:b/>
              </w:rPr>
              <w:t xml:space="preserve"> to </w:t>
            </w:r>
            <w:r w:rsidRPr="00662668">
              <w:rPr>
                <w:rFonts w:eastAsia="Calibri"/>
                <w:b/>
              </w:rPr>
              <w:t>9/30</w:t>
            </w:r>
          </w:p>
        </w:tc>
        <w:tc>
          <w:tcPr>
            <w:tcW w:w="4950" w:type="dxa"/>
            <w:shd w:val="clear" w:color="auto" w:fill="auto"/>
          </w:tcPr>
          <w:p w:rsidR="009D7A4E" w:rsidRPr="00B60476" w:rsidRDefault="009D7A4E" w:rsidP="009D7A4E">
            <w:pPr>
              <w:contextualSpacing/>
              <w:rPr>
                <w:rFonts w:eastAsia="Calibri"/>
              </w:rPr>
            </w:pPr>
            <w:r w:rsidRPr="00B60476">
              <w:rPr>
                <w:rFonts w:eastAsia="Calibri"/>
              </w:rPr>
              <w:t xml:space="preserve">Analyzing Performance Data Using Pareto Charts and </w:t>
            </w:r>
            <w:proofErr w:type="spellStart"/>
            <w:r w:rsidRPr="00B60476">
              <w:rPr>
                <w:rFonts w:eastAsia="Calibri"/>
              </w:rPr>
              <w:t>Fishbones</w:t>
            </w:r>
            <w:proofErr w:type="spellEnd"/>
          </w:p>
          <w:p w:rsidR="009D7A4E" w:rsidRDefault="009D7A4E" w:rsidP="009D7A4E">
            <w:pPr>
              <w:contextualSpacing/>
              <w:rPr>
                <w:rFonts w:eastAsia="Calibri"/>
              </w:rPr>
            </w:pPr>
            <w:proofErr w:type="spellStart"/>
            <w:r w:rsidRPr="00B60476">
              <w:rPr>
                <w:rFonts w:eastAsia="Calibri"/>
              </w:rPr>
              <w:t>Finkelman</w:t>
            </w:r>
            <w:proofErr w:type="spellEnd"/>
            <w:r w:rsidRPr="00B60476">
              <w:rPr>
                <w:rFonts w:eastAsia="Calibri"/>
              </w:rPr>
              <w:t xml:space="preserve">, </w:t>
            </w:r>
            <w:proofErr w:type="spellStart"/>
            <w:r w:rsidRPr="00B60476">
              <w:rPr>
                <w:rFonts w:eastAsia="Calibri"/>
              </w:rPr>
              <w:t>Ch</w:t>
            </w:r>
            <w:proofErr w:type="spellEnd"/>
            <w:r w:rsidRPr="00B60476">
              <w:rPr>
                <w:rFonts w:eastAsia="Calibri"/>
              </w:rPr>
              <w:t xml:space="preserve"> 10</w:t>
            </w:r>
            <w:r w:rsidR="00575228">
              <w:rPr>
                <w:rFonts w:eastAsia="Calibri"/>
              </w:rPr>
              <w:t>, p.</w:t>
            </w:r>
            <w:r>
              <w:rPr>
                <w:rFonts w:eastAsia="Calibri"/>
              </w:rPr>
              <w:t xml:space="preserve"> 326-359</w:t>
            </w:r>
          </w:p>
          <w:p w:rsidR="009D7A4E" w:rsidRDefault="009D7A4E" w:rsidP="009D7A4E">
            <w:pPr>
              <w:contextualSpacing/>
              <w:rPr>
                <w:rFonts w:eastAsia="Calibri"/>
              </w:rPr>
            </w:pPr>
            <w:r w:rsidRPr="00B60476">
              <w:rPr>
                <w:rFonts w:eastAsia="Calibri"/>
              </w:rPr>
              <w:t>View mini lecture</w:t>
            </w:r>
          </w:p>
        </w:tc>
        <w:tc>
          <w:tcPr>
            <w:tcW w:w="2970" w:type="dxa"/>
            <w:shd w:val="clear" w:color="auto" w:fill="auto"/>
          </w:tcPr>
          <w:p w:rsidR="009D7A4E" w:rsidRPr="00847614" w:rsidRDefault="009D7A4E" w:rsidP="009D7A4E">
            <w:pPr>
              <w:rPr>
                <w:rFonts w:eastAsia="Calibri"/>
              </w:rPr>
            </w:pPr>
          </w:p>
        </w:tc>
      </w:tr>
      <w:tr w:rsidR="009D7A4E" w:rsidTr="00590E71">
        <w:tc>
          <w:tcPr>
            <w:tcW w:w="1890" w:type="dxa"/>
            <w:shd w:val="clear" w:color="auto" w:fill="auto"/>
          </w:tcPr>
          <w:p w:rsidR="009D7A4E" w:rsidRPr="00662668" w:rsidRDefault="009D7A4E" w:rsidP="00662668">
            <w:pPr>
              <w:contextualSpacing/>
              <w:jc w:val="center"/>
              <w:rPr>
                <w:rFonts w:eastAsia="Calibri"/>
                <w:b/>
              </w:rPr>
            </w:pPr>
            <w:r w:rsidRPr="00662668">
              <w:rPr>
                <w:rFonts w:eastAsia="Calibri"/>
                <w:b/>
              </w:rPr>
              <w:t>10/1</w:t>
            </w:r>
            <w:r w:rsidR="001E3176" w:rsidRPr="00662668">
              <w:rPr>
                <w:rFonts w:eastAsia="Calibri"/>
                <w:b/>
              </w:rPr>
              <w:t>to 10/</w:t>
            </w:r>
            <w:r w:rsidRPr="00662668">
              <w:rPr>
                <w:rFonts w:eastAsia="Calibri"/>
                <w:b/>
              </w:rPr>
              <w:t>7</w:t>
            </w:r>
          </w:p>
        </w:tc>
        <w:tc>
          <w:tcPr>
            <w:tcW w:w="4950" w:type="dxa"/>
            <w:shd w:val="clear" w:color="auto" w:fill="auto"/>
          </w:tcPr>
          <w:p w:rsidR="009D7A4E" w:rsidRDefault="009D7A4E" w:rsidP="009D7A4E">
            <w:pPr>
              <w:contextualSpacing/>
              <w:rPr>
                <w:rFonts w:eastAsia="Calibri"/>
              </w:rPr>
            </w:pPr>
            <w:r>
              <w:rPr>
                <w:rFonts w:eastAsia="Calibri"/>
              </w:rPr>
              <w:t>Assessing Flawed Processes Using Root Cause and Systems Analysis</w:t>
            </w:r>
          </w:p>
          <w:p w:rsidR="009D7A4E" w:rsidRDefault="009D7A4E" w:rsidP="009D7A4E">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10, p 359-370</w:t>
            </w:r>
          </w:p>
          <w:p w:rsidR="009D7A4E" w:rsidRDefault="009D7A4E" w:rsidP="009D7A4E">
            <w:pPr>
              <w:contextualSpacing/>
              <w:rPr>
                <w:rFonts w:eastAsia="Calibri"/>
              </w:rPr>
            </w:pPr>
            <w:r>
              <w:rPr>
                <w:rFonts w:eastAsia="Calibri"/>
              </w:rPr>
              <w:t>View online module “Anatomy of an Error”</w:t>
            </w:r>
          </w:p>
          <w:p w:rsidR="009D7A4E" w:rsidRDefault="009D7A4E" w:rsidP="009D7A4E">
            <w:pPr>
              <w:contextualSpacing/>
              <w:rPr>
                <w:rFonts w:eastAsia="Calibri"/>
              </w:rPr>
            </w:pPr>
            <w:r>
              <w:rPr>
                <w:rFonts w:eastAsia="Calibri"/>
              </w:rPr>
              <w:t>View online videos: “RCA from a Child’s Perspective” and “The 5 Whys”</w:t>
            </w:r>
          </w:p>
        </w:tc>
        <w:tc>
          <w:tcPr>
            <w:tcW w:w="2970" w:type="dxa"/>
            <w:shd w:val="clear" w:color="auto" w:fill="auto"/>
          </w:tcPr>
          <w:p w:rsidR="0037561F" w:rsidRDefault="0037561F" w:rsidP="0037561F">
            <w:pPr>
              <w:ind w:left="-395" w:firstLine="395"/>
            </w:pPr>
            <w:r>
              <w:t>IHI Open School lessons:</w:t>
            </w:r>
          </w:p>
          <w:p w:rsidR="0037561F" w:rsidRDefault="0037561F" w:rsidP="0037561F">
            <w:pPr>
              <w:pStyle w:val="ListParagraph"/>
              <w:numPr>
                <w:ilvl w:val="0"/>
                <w:numId w:val="17"/>
              </w:numPr>
            </w:pPr>
            <w:r>
              <w:t>PS</w:t>
            </w:r>
            <w:r w:rsidRPr="00B0747E">
              <w:t xml:space="preserve"> </w:t>
            </w:r>
            <w:r>
              <w:t>2</w:t>
            </w:r>
            <w:r w:rsidRPr="00B0747E">
              <w:t>01</w:t>
            </w:r>
          </w:p>
          <w:p w:rsidR="009D7A4E" w:rsidRPr="00847614" w:rsidRDefault="0037561F" w:rsidP="0037561F">
            <w:pPr>
              <w:pStyle w:val="ListParagraph"/>
              <w:numPr>
                <w:ilvl w:val="0"/>
                <w:numId w:val="17"/>
              </w:numPr>
              <w:rPr>
                <w:rFonts w:eastAsia="Calibri"/>
              </w:rPr>
            </w:pPr>
            <w:r>
              <w:t>QI 103</w:t>
            </w:r>
          </w:p>
        </w:tc>
      </w:tr>
      <w:tr w:rsidR="009D7A4E" w:rsidTr="00590E71">
        <w:tc>
          <w:tcPr>
            <w:tcW w:w="1890" w:type="dxa"/>
            <w:shd w:val="clear" w:color="auto" w:fill="auto"/>
          </w:tcPr>
          <w:p w:rsidR="009D7A4E" w:rsidRPr="00662668" w:rsidRDefault="009D7A4E" w:rsidP="00662668">
            <w:pPr>
              <w:contextualSpacing/>
              <w:jc w:val="center"/>
              <w:rPr>
                <w:rFonts w:eastAsia="Calibri"/>
                <w:b/>
              </w:rPr>
            </w:pPr>
            <w:r w:rsidRPr="00662668">
              <w:rPr>
                <w:rFonts w:eastAsia="Calibri"/>
                <w:b/>
              </w:rPr>
              <w:t>10/8</w:t>
            </w:r>
            <w:r w:rsidR="00575228" w:rsidRPr="00662668">
              <w:rPr>
                <w:rFonts w:eastAsia="Calibri"/>
                <w:b/>
              </w:rPr>
              <w:t xml:space="preserve"> to </w:t>
            </w:r>
            <w:r w:rsidRPr="00662668">
              <w:rPr>
                <w:rFonts w:eastAsia="Calibri"/>
                <w:b/>
              </w:rPr>
              <w:t>14</w:t>
            </w:r>
          </w:p>
        </w:tc>
        <w:tc>
          <w:tcPr>
            <w:tcW w:w="4950" w:type="dxa"/>
            <w:shd w:val="clear" w:color="auto" w:fill="auto"/>
          </w:tcPr>
          <w:p w:rsidR="009D7A4E" w:rsidRDefault="009D7A4E" w:rsidP="009D7A4E">
            <w:pPr>
              <w:contextualSpacing/>
              <w:rPr>
                <w:rFonts w:eastAsia="Calibri"/>
              </w:rPr>
            </w:pPr>
            <w:r>
              <w:rPr>
                <w:rFonts w:eastAsia="Calibri"/>
              </w:rPr>
              <w:t>PDSA Improvement Framework</w:t>
            </w:r>
          </w:p>
          <w:p w:rsidR="009D7A4E" w:rsidRDefault="009D7A4E" w:rsidP="009D7A4E">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4, 5</w:t>
            </w:r>
          </w:p>
          <w:p w:rsidR="009D7A4E" w:rsidRDefault="009D7A4E" w:rsidP="009D7A4E">
            <w:pPr>
              <w:contextualSpacing/>
              <w:rPr>
                <w:rFonts w:eastAsia="Calibri"/>
              </w:rPr>
            </w:pPr>
            <w:r>
              <w:rPr>
                <w:rFonts w:eastAsia="Calibri"/>
              </w:rPr>
              <w:t xml:space="preserve">Harris et al, </w:t>
            </w:r>
            <w:proofErr w:type="spellStart"/>
            <w:r>
              <w:rPr>
                <w:rFonts w:eastAsia="Calibri"/>
              </w:rPr>
              <w:t>Ch</w:t>
            </w:r>
            <w:proofErr w:type="spellEnd"/>
            <w:r>
              <w:rPr>
                <w:rFonts w:eastAsia="Calibri"/>
              </w:rPr>
              <w:t xml:space="preserve"> 2, 7</w:t>
            </w:r>
          </w:p>
          <w:p w:rsidR="009D7A4E" w:rsidRDefault="009D7A4E" w:rsidP="009D7A4E">
            <w:pPr>
              <w:contextualSpacing/>
              <w:rPr>
                <w:rFonts w:eastAsia="Calibri"/>
              </w:rPr>
            </w:pPr>
            <w:r>
              <w:rPr>
                <w:rFonts w:eastAsia="Calibri"/>
              </w:rPr>
              <w:t>View 2 mini-lectures</w:t>
            </w:r>
          </w:p>
          <w:p w:rsidR="0037561F" w:rsidRDefault="0037561F" w:rsidP="009D7A4E">
            <w:pPr>
              <w:contextualSpacing/>
              <w:rPr>
                <w:rFonts w:eastAsia="Calibri"/>
              </w:rPr>
            </w:pPr>
          </w:p>
        </w:tc>
        <w:tc>
          <w:tcPr>
            <w:tcW w:w="2970" w:type="dxa"/>
            <w:shd w:val="clear" w:color="auto" w:fill="auto"/>
          </w:tcPr>
          <w:p w:rsidR="009D7A4E" w:rsidRDefault="0037561F" w:rsidP="0037561F">
            <w:r>
              <w:rPr>
                <w:rFonts w:eastAsia="Calibri"/>
              </w:rPr>
              <w:t xml:space="preserve">Submit Part 1 Process Improvement Paper (PIP)   </w:t>
            </w:r>
            <w:r>
              <w:rPr>
                <w:rFonts w:eastAsia="Calibri"/>
              </w:rPr>
              <w:br/>
            </w:r>
            <w:r w:rsidRPr="0037561F">
              <w:rPr>
                <w:rFonts w:eastAsia="Calibri"/>
                <w:color w:val="FF0000"/>
              </w:rPr>
              <w:t>Due 10/14</w:t>
            </w:r>
          </w:p>
        </w:tc>
      </w:tr>
      <w:tr w:rsidR="00077961" w:rsidTr="001E3176">
        <w:tc>
          <w:tcPr>
            <w:tcW w:w="6840" w:type="dxa"/>
            <w:gridSpan w:val="2"/>
            <w:shd w:val="clear" w:color="auto" w:fill="B4C6E7" w:themeFill="accent5" w:themeFillTint="66"/>
          </w:tcPr>
          <w:p w:rsidR="00077961" w:rsidRPr="00077961" w:rsidRDefault="00077961" w:rsidP="00077961">
            <w:pPr>
              <w:jc w:val="center"/>
              <w:rPr>
                <w:rFonts w:eastAsia="Calibri"/>
                <w:b/>
              </w:rPr>
            </w:pPr>
            <w:r w:rsidRPr="00077961">
              <w:rPr>
                <w:rFonts w:eastAsia="Calibri"/>
                <w:b/>
              </w:rPr>
              <w:lastRenderedPageBreak/>
              <w:t>Module 3: Measuring for Improvement</w:t>
            </w:r>
          </w:p>
        </w:tc>
        <w:tc>
          <w:tcPr>
            <w:tcW w:w="2970" w:type="dxa"/>
            <w:shd w:val="clear" w:color="auto" w:fill="B4C6E7" w:themeFill="accent5" w:themeFillTint="66"/>
          </w:tcPr>
          <w:p w:rsidR="00077961" w:rsidRDefault="00077961" w:rsidP="00077961"/>
        </w:tc>
      </w:tr>
      <w:tr w:rsidR="00077961" w:rsidTr="00590E71">
        <w:tc>
          <w:tcPr>
            <w:tcW w:w="1890" w:type="dxa"/>
            <w:shd w:val="clear" w:color="auto" w:fill="auto"/>
          </w:tcPr>
          <w:p w:rsidR="00077961" w:rsidRPr="00662668" w:rsidRDefault="00575228" w:rsidP="00662668">
            <w:pPr>
              <w:contextualSpacing/>
              <w:jc w:val="center"/>
              <w:rPr>
                <w:rFonts w:eastAsia="Calibri"/>
                <w:b/>
              </w:rPr>
            </w:pPr>
            <w:r w:rsidRPr="00662668">
              <w:rPr>
                <w:rFonts w:eastAsia="Calibri"/>
                <w:b/>
              </w:rPr>
              <w:t xml:space="preserve">10/15 to </w:t>
            </w:r>
            <w:r w:rsidR="00077961" w:rsidRPr="00662668">
              <w:rPr>
                <w:rFonts w:eastAsia="Calibri"/>
                <w:b/>
              </w:rPr>
              <w:t>10/21</w:t>
            </w:r>
          </w:p>
        </w:tc>
        <w:tc>
          <w:tcPr>
            <w:tcW w:w="4950" w:type="dxa"/>
            <w:shd w:val="clear" w:color="auto" w:fill="auto"/>
          </w:tcPr>
          <w:p w:rsidR="00077961" w:rsidRDefault="00077961" w:rsidP="00077961">
            <w:pPr>
              <w:contextualSpacing/>
              <w:rPr>
                <w:rFonts w:eastAsia="Calibri"/>
              </w:rPr>
            </w:pPr>
            <w:r>
              <w:rPr>
                <w:rFonts w:eastAsia="Calibri"/>
              </w:rPr>
              <w:t>Designing the Outcome Measurement Plan</w:t>
            </w:r>
          </w:p>
          <w:p w:rsidR="00077961" w:rsidRDefault="00077961" w:rsidP="00077961">
            <w:pPr>
              <w:contextualSpacing/>
              <w:rPr>
                <w:rFonts w:eastAsia="Calibri"/>
              </w:rPr>
            </w:pPr>
            <w:r>
              <w:rPr>
                <w:rFonts w:eastAsia="Calibri"/>
              </w:rPr>
              <w:t>View Mini-lecture</w:t>
            </w:r>
          </w:p>
          <w:p w:rsidR="00077961" w:rsidRDefault="00077961" w:rsidP="00077961">
            <w:pPr>
              <w:contextualSpacing/>
              <w:rPr>
                <w:rFonts w:eastAsia="Calibri"/>
              </w:rPr>
            </w:pPr>
            <w:r>
              <w:rPr>
                <w:rFonts w:eastAsia="Calibri"/>
              </w:rPr>
              <w:t>View online module “Developing a plan for outcome measurement”</w:t>
            </w:r>
          </w:p>
        </w:tc>
        <w:tc>
          <w:tcPr>
            <w:tcW w:w="2970" w:type="dxa"/>
            <w:shd w:val="clear" w:color="auto" w:fill="auto"/>
          </w:tcPr>
          <w:p w:rsidR="00077961" w:rsidRDefault="00077961" w:rsidP="00077961"/>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10/22</w:t>
            </w:r>
            <w:r w:rsidR="00575228" w:rsidRPr="00662668">
              <w:rPr>
                <w:rFonts w:eastAsia="Calibri"/>
                <w:b/>
              </w:rPr>
              <w:t xml:space="preserve"> to </w:t>
            </w:r>
            <w:r w:rsidRPr="00662668">
              <w:rPr>
                <w:rFonts w:eastAsia="Calibri"/>
                <w:b/>
              </w:rPr>
              <w:t>10/28</w:t>
            </w:r>
          </w:p>
        </w:tc>
        <w:tc>
          <w:tcPr>
            <w:tcW w:w="4950" w:type="dxa"/>
            <w:shd w:val="clear" w:color="auto" w:fill="auto"/>
          </w:tcPr>
          <w:p w:rsidR="00077961" w:rsidRDefault="00077961" w:rsidP="00077961">
            <w:pPr>
              <w:contextualSpacing/>
              <w:rPr>
                <w:rFonts w:eastAsia="Calibri"/>
              </w:rPr>
            </w:pPr>
            <w:r>
              <w:rPr>
                <w:rFonts w:eastAsia="Calibri"/>
              </w:rPr>
              <w:t>Measurement Domains and Indicators</w:t>
            </w:r>
          </w:p>
          <w:p w:rsidR="00077961" w:rsidRDefault="00077961" w:rsidP="00077961">
            <w:pPr>
              <w:contextualSpacing/>
              <w:rPr>
                <w:rFonts w:eastAsia="Calibri"/>
              </w:rPr>
            </w:pPr>
            <w:r>
              <w:rPr>
                <w:rFonts w:eastAsia="Calibri"/>
              </w:rPr>
              <w:t>View Mini-lecture</w:t>
            </w:r>
          </w:p>
          <w:p w:rsidR="00077961" w:rsidRDefault="00077961" w:rsidP="00077961">
            <w:pPr>
              <w:contextualSpacing/>
              <w:rPr>
                <w:rFonts w:eastAsia="Calibri"/>
              </w:rPr>
            </w:pPr>
            <w:r>
              <w:rPr>
                <w:rFonts w:eastAsia="Calibri"/>
              </w:rPr>
              <w:t xml:space="preserve">Harris et al  </w:t>
            </w:r>
            <w:proofErr w:type="spellStart"/>
            <w:r>
              <w:rPr>
                <w:rFonts w:eastAsia="Calibri"/>
              </w:rPr>
              <w:t>Ch</w:t>
            </w:r>
            <w:proofErr w:type="spellEnd"/>
            <w:r>
              <w:rPr>
                <w:rFonts w:eastAsia="Calibri"/>
              </w:rPr>
              <w:t xml:space="preserve"> 9</w:t>
            </w:r>
          </w:p>
        </w:tc>
        <w:tc>
          <w:tcPr>
            <w:tcW w:w="2970" w:type="dxa"/>
            <w:shd w:val="clear" w:color="auto" w:fill="auto"/>
          </w:tcPr>
          <w:p w:rsidR="0037561F" w:rsidRDefault="0037561F" w:rsidP="0037561F">
            <w:pPr>
              <w:ind w:left="-395" w:firstLine="395"/>
            </w:pPr>
            <w:r>
              <w:t>IHI Open School lessons:</w:t>
            </w:r>
          </w:p>
          <w:p w:rsidR="0037561F" w:rsidRDefault="0037561F" w:rsidP="0037561F">
            <w:pPr>
              <w:pStyle w:val="ListParagraph"/>
              <w:numPr>
                <w:ilvl w:val="0"/>
                <w:numId w:val="17"/>
              </w:numPr>
            </w:pPr>
            <w:r>
              <w:t>PS</w:t>
            </w:r>
            <w:r w:rsidRPr="00B0747E">
              <w:t xml:space="preserve"> 10</w:t>
            </w:r>
            <w:r>
              <w:t>4</w:t>
            </w:r>
          </w:p>
          <w:p w:rsidR="00077961" w:rsidRDefault="00077961" w:rsidP="00077961"/>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10/29</w:t>
            </w:r>
            <w:r w:rsidR="00575228" w:rsidRPr="00662668">
              <w:rPr>
                <w:rFonts w:eastAsia="Calibri"/>
                <w:b/>
              </w:rPr>
              <w:t xml:space="preserve"> to </w:t>
            </w:r>
            <w:r w:rsidRPr="00662668">
              <w:rPr>
                <w:rFonts w:eastAsia="Calibri"/>
                <w:b/>
              </w:rPr>
              <w:t>11/4</w:t>
            </w:r>
          </w:p>
        </w:tc>
        <w:tc>
          <w:tcPr>
            <w:tcW w:w="4950" w:type="dxa"/>
            <w:shd w:val="clear" w:color="auto" w:fill="auto"/>
          </w:tcPr>
          <w:p w:rsidR="00077961" w:rsidRDefault="00077961" w:rsidP="00077961">
            <w:pPr>
              <w:contextualSpacing/>
              <w:rPr>
                <w:rFonts w:eastAsia="Calibri"/>
              </w:rPr>
            </w:pPr>
            <w:r>
              <w:rPr>
                <w:rFonts w:eastAsia="Calibri"/>
              </w:rPr>
              <w:t>Metrics: How to Measure Quality, Cost, Value</w:t>
            </w:r>
          </w:p>
          <w:p w:rsidR="00077961" w:rsidRDefault="00077961" w:rsidP="00077961">
            <w:pPr>
              <w:contextualSpacing/>
              <w:rPr>
                <w:rFonts w:eastAsia="Calibri"/>
              </w:rPr>
            </w:pPr>
            <w:r>
              <w:rPr>
                <w:rFonts w:eastAsia="Calibri"/>
              </w:rPr>
              <w:t>Assigned articles, website</w:t>
            </w:r>
          </w:p>
          <w:p w:rsidR="00077961" w:rsidRDefault="00077961" w:rsidP="00077961">
            <w:pPr>
              <w:contextualSpacing/>
              <w:rPr>
                <w:rFonts w:eastAsia="Calibri"/>
              </w:rPr>
            </w:pPr>
            <w:r>
              <w:rPr>
                <w:rFonts w:eastAsia="Calibri"/>
              </w:rPr>
              <w:t xml:space="preserve">View module “The </w:t>
            </w:r>
            <w:proofErr w:type="spellStart"/>
            <w:r>
              <w:rPr>
                <w:rFonts w:eastAsia="Calibri"/>
              </w:rPr>
              <w:t>Hows</w:t>
            </w:r>
            <w:proofErr w:type="spellEnd"/>
            <w:r>
              <w:rPr>
                <w:rFonts w:eastAsia="Calibri"/>
              </w:rPr>
              <w:t xml:space="preserve"> and Whys of Chart Audits” </w:t>
            </w:r>
          </w:p>
          <w:p w:rsidR="00077961" w:rsidRDefault="00077961" w:rsidP="00077961">
            <w:pPr>
              <w:contextualSpacing/>
              <w:rPr>
                <w:rFonts w:eastAsia="Calibri"/>
              </w:rPr>
            </w:pPr>
            <w:r>
              <w:rPr>
                <w:rFonts w:eastAsia="Calibri"/>
              </w:rPr>
              <w:t xml:space="preserve">Harris et al </w:t>
            </w:r>
            <w:proofErr w:type="spellStart"/>
            <w:r>
              <w:rPr>
                <w:rFonts w:eastAsia="Calibri"/>
              </w:rPr>
              <w:t>Ch</w:t>
            </w:r>
            <w:proofErr w:type="spellEnd"/>
            <w:r>
              <w:rPr>
                <w:rFonts w:eastAsia="Calibri"/>
              </w:rPr>
              <w:t xml:space="preserve"> 10</w:t>
            </w:r>
          </w:p>
          <w:p w:rsidR="00077961" w:rsidRDefault="00077961" w:rsidP="00077961">
            <w:pPr>
              <w:contextualSpacing/>
              <w:rPr>
                <w:rFonts w:eastAsia="Calibri"/>
              </w:rPr>
            </w:pPr>
            <w:r>
              <w:rPr>
                <w:rFonts w:eastAsia="Calibri"/>
              </w:rPr>
              <w:t>View HCUP Overview Presentation</w:t>
            </w:r>
          </w:p>
        </w:tc>
        <w:tc>
          <w:tcPr>
            <w:tcW w:w="2970" w:type="dxa"/>
            <w:shd w:val="clear" w:color="auto" w:fill="auto"/>
          </w:tcPr>
          <w:p w:rsidR="00077961" w:rsidRPr="00847614" w:rsidRDefault="00077961" w:rsidP="00077961">
            <w:pPr>
              <w:rPr>
                <w:rFonts w:eastAsia="Calibri"/>
              </w:rPr>
            </w:pPr>
          </w:p>
        </w:tc>
      </w:tr>
      <w:tr w:rsidR="00077961" w:rsidTr="001E3176">
        <w:tc>
          <w:tcPr>
            <w:tcW w:w="6840" w:type="dxa"/>
            <w:gridSpan w:val="2"/>
            <w:shd w:val="clear" w:color="auto" w:fill="B4C6E7" w:themeFill="accent5" w:themeFillTint="66"/>
          </w:tcPr>
          <w:p w:rsidR="00077961" w:rsidRPr="001E3176" w:rsidRDefault="00077961" w:rsidP="001E3176">
            <w:pPr>
              <w:jc w:val="center"/>
              <w:rPr>
                <w:b/>
              </w:rPr>
            </w:pPr>
            <w:r w:rsidRPr="001E3176">
              <w:rPr>
                <w:rFonts w:eastAsia="Calibri"/>
                <w:b/>
              </w:rPr>
              <w:t>Module 4: Constructing a QI Project</w:t>
            </w:r>
          </w:p>
        </w:tc>
        <w:tc>
          <w:tcPr>
            <w:tcW w:w="2970" w:type="dxa"/>
            <w:shd w:val="clear" w:color="auto" w:fill="B4C6E7" w:themeFill="accent5" w:themeFillTint="66"/>
          </w:tcPr>
          <w:p w:rsidR="00077961" w:rsidRPr="001E3176" w:rsidRDefault="00077961" w:rsidP="001E3176">
            <w:pPr>
              <w:jc w:val="center"/>
              <w:rPr>
                <w:b/>
              </w:rPr>
            </w:pPr>
          </w:p>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11/5</w:t>
            </w:r>
            <w:r w:rsidR="00575228" w:rsidRPr="00662668">
              <w:rPr>
                <w:rFonts w:eastAsia="Calibri"/>
                <w:b/>
              </w:rPr>
              <w:t xml:space="preserve"> to </w:t>
            </w:r>
            <w:r w:rsidRPr="00662668">
              <w:rPr>
                <w:rFonts w:eastAsia="Calibri"/>
                <w:b/>
              </w:rPr>
              <w:t>11/11</w:t>
            </w:r>
          </w:p>
        </w:tc>
        <w:tc>
          <w:tcPr>
            <w:tcW w:w="4950" w:type="dxa"/>
            <w:shd w:val="clear" w:color="auto" w:fill="auto"/>
          </w:tcPr>
          <w:p w:rsidR="00077961" w:rsidRDefault="00077961" w:rsidP="00077961">
            <w:pPr>
              <w:contextualSpacing/>
              <w:rPr>
                <w:rFonts w:eastAsia="Calibri"/>
              </w:rPr>
            </w:pPr>
            <w:r>
              <w:rPr>
                <w:rFonts w:eastAsia="Calibri"/>
              </w:rPr>
              <w:t>Role of Information Technology in Project Planning</w:t>
            </w:r>
          </w:p>
        </w:tc>
        <w:tc>
          <w:tcPr>
            <w:tcW w:w="2970" w:type="dxa"/>
            <w:shd w:val="clear" w:color="auto" w:fill="auto"/>
          </w:tcPr>
          <w:p w:rsidR="00077961" w:rsidRDefault="00077961" w:rsidP="00077961">
            <w:pPr>
              <w:rPr>
                <w:rFonts w:eastAsia="Calibri"/>
              </w:rPr>
            </w:pPr>
            <w:r>
              <w:rPr>
                <w:rFonts w:eastAsia="Calibri"/>
              </w:rPr>
              <w:t>Case Study #2: The not so positive impact of technology on care delivery.</w:t>
            </w:r>
          </w:p>
          <w:p w:rsidR="00077961" w:rsidRPr="00847614" w:rsidRDefault="00077961" w:rsidP="00077961">
            <w:pPr>
              <w:rPr>
                <w:rFonts w:eastAsia="Calibri"/>
              </w:rPr>
            </w:pPr>
            <w:r w:rsidRPr="00575228">
              <w:rPr>
                <w:rFonts w:eastAsia="Calibri"/>
                <w:color w:val="FF0000"/>
              </w:rPr>
              <w:t>Due 11/11</w:t>
            </w:r>
          </w:p>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11/12</w:t>
            </w:r>
            <w:r w:rsidR="00575228" w:rsidRPr="00662668">
              <w:rPr>
                <w:rFonts w:eastAsia="Calibri"/>
                <w:b/>
              </w:rPr>
              <w:t xml:space="preserve"> to </w:t>
            </w:r>
            <w:r w:rsidRPr="00662668">
              <w:rPr>
                <w:rFonts w:eastAsia="Calibri"/>
                <w:b/>
              </w:rPr>
              <w:t>11/18</w:t>
            </w:r>
          </w:p>
        </w:tc>
        <w:tc>
          <w:tcPr>
            <w:tcW w:w="4950" w:type="dxa"/>
            <w:shd w:val="clear" w:color="auto" w:fill="auto"/>
          </w:tcPr>
          <w:p w:rsidR="00077961" w:rsidRDefault="00077961" w:rsidP="00077961">
            <w:pPr>
              <w:contextualSpacing/>
              <w:rPr>
                <w:rFonts w:eastAsia="Calibri"/>
              </w:rPr>
            </w:pPr>
            <w:r>
              <w:rPr>
                <w:rFonts w:eastAsia="Calibri"/>
              </w:rPr>
              <w:t>Phases of a QI Project</w:t>
            </w:r>
          </w:p>
          <w:p w:rsidR="00077961" w:rsidRDefault="00077961" w:rsidP="00077961">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9</w:t>
            </w:r>
          </w:p>
          <w:p w:rsidR="00077961" w:rsidRDefault="00077961" w:rsidP="00077961">
            <w:pPr>
              <w:contextualSpacing/>
              <w:rPr>
                <w:rFonts w:eastAsia="Calibri"/>
              </w:rPr>
            </w:pPr>
            <w:r>
              <w:rPr>
                <w:rFonts w:eastAsia="Calibri"/>
              </w:rPr>
              <w:t xml:space="preserve">Harris et al </w:t>
            </w:r>
            <w:proofErr w:type="spellStart"/>
            <w:r>
              <w:rPr>
                <w:rFonts w:eastAsia="Calibri"/>
              </w:rPr>
              <w:t>Ch</w:t>
            </w:r>
            <w:proofErr w:type="spellEnd"/>
            <w:r>
              <w:rPr>
                <w:rFonts w:eastAsia="Calibri"/>
              </w:rPr>
              <w:t xml:space="preserve"> 6&amp; 7</w:t>
            </w:r>
          </w:p>
          <w:p w:rsidR="00077961" w:rsidRDefault="00077961" w:rsidP="00077961">
            <w:pPr>
              <w:contextualSpacing/>
              <w:rPr>
                <w:rFonts w:eastAsia="Calibri"/>
              </w:rPr>
            </w:pPr>
            <w:r>
              <w:rPr>
                <w:rFonts w:eastAsia="Calibri"/>
              </w:rPr>
              <w:t>View the online module “Mistake Proofing Care”</w:t>
            </w:r>
          </w:p>
        </w:tc>
        <w:tc>
          <w:tcPr>
            <w:tcW w:w="2970" w:type="dxa"/>
            <w:shd w:val="clear" w:color="auto" w:fill="auto"/>
          </w:tcPr>
          <w:p w:rsidR="00077961" w:rsidRPr="00847614" w:rsidRDefault="00077961" w:rsidP="00077961">
            <w:pPr>
              <w:rPr>
                <w:rFonts w:eastAsia="Calibri"/>
              </w:rPr>
            </w:pPr>
          </w:p>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11/19</w:t>
            </w:r>
            <w:r w:rsidR="00575228" w:rsidRPr="00662668">
              <w:rPr>
                <w:rFonts w:eastAsia="Calibri"/>
                <w:b/>
              </w:rPr>
              <w:t xml:space="preserve"> to </w:t>
            </w:r>
            <w:r w:rsidRPr="00662668">
              <w:rPr>
                <w:rFonts w:eastAsia="Calibri"/>
                <w:b/>
              </w:rPr>
              <w:t>11/2</w:t>
            </w:r>
            <w:r w:rsidR="00575228" w:rsidRPr="00662668">
              <w:rPr>
                <w:rFonts w:eastAsia="Calibri"/>
                <w:b/>
              </w:rPr>
              <w:t>5</w:t>
            </w:r>
          </w:p>
        </w:tc>
        <w:tc>
          <w:tcPr>
            <w:tcW w:w="4950" w:type="dxa"/>
            <w:shd w:val="clear" w:color="auto" w:fill="auto"/>
          </w:tcPr>
          <w:p w:rsidR="00077961" w:rsidRDefault="00077961" w:rsidP="00077961">
            <w:pPr>
              <w:contextualSpacing/>
              <w:rPr>
                <w:rFonts w:eastAsia="Calibri"/>
              </w:rPr>
            </w:pPr>
            <w:r>
              <w:rPr>
                <w:rFonts w:eastAsia="Calibri"/>
              </w:rPr>
              <w:t>Leading Quality Improvement Projects</w:t>
            </w:r>
          </w:p>
          <w:p w:rsidR="00077961" w:rsidRDefault="00077961" w:rsidP="00077961">
            <w:pPr>
              <w:contextualSpacing/>
              <w:rPr>
                <w:rFonts w:eastAsia="Calibri"/>
              </w:rPr>
            </w:pPr>
            <w:proofErr w:type="spellStart"/>
            <w:r>
              <w:rPr>
                <w:rFonts w:eastAsia="Calibri"/>
              </w:rPr>
              <w:t>Finkelman</w:t>
            </w:r>
            <w:proofErr w:type="spellEnd"/>
            <w:r>
              <w:rPr>
                <w:rFonts w:eastAsia="Calibri"/>
              </w:rPr>
              <w:t xml:space="preserve"> </w:t>
            </w:r>
            <w:proofErr w:type="spellStart"/>
            <w:r>
              <w:rPr>
                <w:rFonts w:eastAsia="Calibri"/>
              </w:rPr>
              <w:t>Ch</w:t>
            </w:r>
            <w:proofErr w:type="spellEnd"/>
            <w:r>
              <w:rPr>
                <w:rFonts w:eastAsia="Calibri"/>
              </w:rPr>
              <w:t xml:space="preserve"> 12</w:t>
            </w:r>
          </w:p>
          <w:p w:rsidR="00077961" w:rsidRDefault="00077961" w:rsidP="00077961">
            <w:pPr>
              <w:contextualSpacing/>
              <w:rPr>
                <w:rFonts w:eastAsia="Calibri"/>
              </w:rPr>
            </w:pPr>
            <w:r>
              <w:rPr>
                <w:rFonts w:eastAsia="Calibri"/>
              </w:rPr>
              <w:t>View online IHI Modules</w:t>
            </w:r>
          </w:p>
        </w:tc>
        <w:tc>
          <w:tcPr>
            <w:tcW w:w="2970" w:type="dxa"/>
            <w:shd w:val="clear" w:color="auto" w:fill="auto"/>
          </w:tcPr>
          <w:p w:rsidR="00575228" w:rsidRDefault="00575228" w:rsidP="00575228">
            <w:pPr>
              <w:ind w:left="-395" w:firstLine="395"/>
            </w:pPr>
            <w:r>
              <w:t>IHI Open School lessons:</w:t>
            </w:r>
          </w:p>
          <w:p w:rsidR="00575228" w:rsidRDefault="00575228" w:rsidP="00575228">
            <w:pPr>
              <w:pStyle w:val="ListParagraph"/>
              <w:numPr>
                <w:ilvl w:val="0"/>
                <w:numId w:val="17"/>
              </w:numPr>
            </w:pPr>
            <w:r>
              <w:t>QI</w:t>
            </w:r>
            <w:r w:rsidRPr="00B0747E">
              <w:t xml:space="preserve"> 10</w:t>
            </w:r>
            <w:r>
              <w:t>5</w:t>
            </w:r>
          </w:p>
          <w:p w:rsidR="00575228" w:rsidRDefault="00575228" w:rsidP="00575228">
            <w:pPr>
              <w:pStyle w:val="ListParagraph"/>
              <w:numPr>
                <w:ilvl w:val="0"/>
                <w:numId w:val="17"/>
              </w:numPr>
            </w:pPr>
            <w:r>
              <w:t>L 101</w:t>
            </w:r>
          </w:p>
          <w:p w:rsidR="00077961" w:rsidRPr="00847614" w:rsidRDefault="00077961" w:rsidP="00077961">
            <w:pPr>
              <w:rPr>
                <w:rFonts w:eastAsia="Calibri"/>
              </w:rPr>
            </w:pPr>
          </w:p>
        </w:tc>
      </w:tr>
      <w:tr w:rsidR="00077961" w:rsidTr="00590E71">
        <w:tc>
          <w:tcPr>
            <w:tcW w:w="1890" w:type="dxa"/>
            <w:shd w:val="clear" w:color="auto" w:fill="auto"/>
          </w:tcPr>
          <w:p w:rsidR="00077961" w:rsidRPr="00662668" w:rsidRDefault="00077961" w:rsidP="00662668">
            <w:pPr>
              <w:contextualSpacing/>
              <w:jc w:val="center"/>
              <w:rPr>
                <w:rFonts w:eastAsia="Calibri"/>
                <w:b/>
              </w:rPr>
            </w:pPr>
            <w:r w:rsidRPr="00662668">
              <w:rPr>
                <w:rFonts w:eastAsia="Calibri"/>
                <w:b/>
              </w:rPr>
              <w:t>11/26</w:t>
            </w:r>
            <w:r w:rsidR="00575228" w:rsidRPr="00662668">
              <w:rPr>
                <w:rFonts w:eastAsia="Calibri"/>
                <w:b/>
              </w:rPr>
              <w:t xml:space="preserve"> to </w:t>
            </w:r>
            <w:r w:rsidRPr="00662668">
              <w:rPr>
                <w:rFonts w:eastAsia="Calibri"/>
                <w:b/>
              </w:rPr>
              <w:t>12/</w:t>
            </w:r>
            <w:r w:rsidR="00575228" w:rsidRPr="00662668">
              <w:rPr>
                <w:rFonts w:eastAsia="Calibri"/>
                <w:b/>
              </w:rPr>
              <w:t>5</w:t>
            </w:r>
          </w:p>
        </w:tc>
        <w:tc>
          <w:tcPr>
            <w:tcW w:w="4950" w:type="dxa"/>
            <w:shd w:val="clear" w:color="auto" w:fill="auto"/>
          </w:tcPr>
          <w:p w:rsidR="00077961" w:rsidRDefault="00077961" w:rsidP="00077961">
            <w:pPr>
              <w:contextualSpacing/>
              <w:rPr>
                <w:rFonts w:eastAsia="Calibri"/>
              </w:rPr>
            </w:pPr>
            <w:r>
              <w:rPr>
                <w:rFonts w:eastAsia="Calibri"/>
              </w:rPr>
              <w:t>Equity and Population Health</w:t>
            </w:r>
          </w:p>
          <w:p w:rsidR="00077961" w:rsidRDefault="00077961" w:rsidP="00077961">
            <w:pPr>
              <w:contextualSpacing/>
              <w:rPr>
                <w:rFonts w:eastAsia="Calibri"/>
              </w:rPr>
            </w:pPr>
            <w:r>
              <w:rPr>
                <w:rFonts w:eastAsia="Calibri"/>
              </w:rPr>
              <w:t>View posted video</w:t>
            </w:r>
          </w:p>
          <w:p w:rsidR="00575228" w:rsidRDefault="00575228" w:rsidP="00077961">
            <w:pPr>
              <w:contextualSpacing/>
              <w:rPr>
                <w:rFonts w:eastAsia="Calibri"/>
              </w:rPr>
            </w:pPr>
          </w:p>
          <w:p w:rsidR="00575228" w:rsidRDefault="00575228" w:rsidP="00077961">
            <w:pPr>
              <w:contextualSpacing/>
              <w:rPr>
                <w:rFonts w:eastAsia="Calibri"/>
              </w:rPr>
            </w:pPr>
            <w:r>
              <w:rPr>
                <w:rFonts w:eastAsia="Calibri"/>
              </w:rPr>
              <w:t>Applying the Improvement Model to a Flawed Process</w:t>
            </w:r>
          </w:p>
        </w:tc>
        <w:tc>
          <w:tcPr>
            <w:tcW w:w="2970" w:type="dxa"/>
            <w:shd w:val="clear" w:color="auto" w:fill="auto"/>
          </w:tcPr>
          <w:p w:rsidR="00077961" w:rsidRDefault="00077961" w:rsidP="00077961">
            <w:pPr>
              <w:rPr>
                <w:rFonts w:eastAsia="Calibri"/>
              </w:rPr>
            </w:pPr>
            <w:r>
              <w:rPr>
                <w:rFonts w:eastAsia="Calibri"/>
              </w:rPr>
              <w:t>Discussion #3: How can QI strategies impact disparities in care delivery?</w:t>
            </w:r>
          </w:p>
          <w:p w:rsidR="00575228" w:rsidRDefault="00575228" w:rsidP="00077961">
            <w:pPr>
              <w:rPr>
                <w:rFonts w:eastAsia="Calibri"/>
              </w:rPr>
            </w:pPr>
            <w:r>
              <w:rPr>
                <w:rFonts w:eastAsia="Calibri"/>
              </w:rPr>
              <w:t xml:space="preserve">Submit part 2 of PIP. </w:t>
            </w:r>
          </w:p>
          <w:p w:rsidR="00575228" w:rsidRPr="00847614" w:rsidRDefault="00575228" w:rsidP="00077961">
            <w:pPr>
              <w:rPr>
                <w:rFonts w:eastAsia="Calibri"/>
              </w:rPr>
            </w:pPr>
            <w:r w:rsidRPr="00575228">
              <w:rPr>
                <w:rFonts w:eastAsia="Calibri"/>
                <w:color w:val="FF0000"/>
              </w:rPr>
              <w:t>Due 12/</w:t>
            </w:r>
            <w:r>
              <w:rPr>
                <w:rFonts w:eastAsia="Calibri"/>
                <w:color w:val="FF0000"/>
              </w:rPr>
              <w:t>2</w:t>
            </w:r>
          </w:p>
        </w:tc>
      </w:tr>
    </w:tbl>
    <w:p w:rsidR="00557076" w:rsidRDefault="00557076"/>
    <w:p w:rsidR="00557076" w:rsidRDefault="00557076" w:rsidP="00557076">
      <w:pPr>
        <w:rPr>
          <w:b/>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Pr>
          <w:b/>
        </w:rPr>
        <w:t xml:space="preserve">and an </w:t>
      </w:r>
      <w:r w:rsidRPr="008C4C39">
        <w:rPr>
          <w:b/>
        </w:rPr>
        <w:t>announcement should this occur.  Every effort will be made to adhere to the assignments and due dates as they are currently published.</w:t>
      </w:r>
    </w:p>
    <w:p w:rsidR="009638E3" w:rsidRDefault="009638E3" w:rsidP="009638E3"/>
    <w:p w:rsidR="009638E3" w:rsidRDefault="009638E3" w:rsidP="009638E3"/>
    <w:p w:rsidR="00DE7895" w:rsidRDefault="00DE7895" w:rsidP="004E0981">
      <w:pPr>
        <w:keepNext/>
      </w:pPr>
    </w:p>
    <w:p w:rsidR="00DE7895" w:rsidRDefault="00DE7895" w:rsidP="004E0981">
      <w:pPr>
        <w:keepNext/>
      </w:pPr>
      <w:r>
        <w:t>Approved:</w:t>
      </w:r>
      <w:r>
        <w:tab/>
        <w:t xml:space="preserve">Academic Affairs Committee:  </w:t>
      </w:r>
      <w:r>
        <w:tab/>
      </w:r>
      <w:r w:rsidR="005C2068">
        <w:t>03/15</w:t>
      </w:r>
      <w:r w:rsidR="003D387D">
        <w:t>; 06/16</w:t>
      </w:r>
    </w:p>
    <w:p w:rsidR="00DE7895" w:rsidRDefault="00DE7895" w:rsidP="00166A66">
      <w:pPr>
        <w:keepNext/>
        <w:ind w:left="720" w:firstLine="720"/>
      </w:pPr>
      <w:r>
        <w:t xml:space="preserve">Faculty:   </w:t>
      </w:r>
      <w:r>
        <w:tab/>
      </w:r>
      <w:r>
        <w:tab/>
      </w:r>
      <w:r>
        <w:tab/>
      </w:r>
      <w:r>
        <w:tab/>
      </w:r>
      <w:r w:rsidR="005C2068">
        <w:t>03/15</w:t>
      </w:r>
      <w:r w:rsidR="003D387D">
        <w:t>; 06</w:t>
      </w:r>
      <w:r w:rsidR="00D50F27">
        <w:t>/</w:t>
      </w:r>
      <w:r w:rsidR="003D387D">
        <w:t>16</w:t>
      </w:r>
    </w:p>
    <w:p w:rsidR="00DE7895" w:rsidRDefault="00DE7895" w:rsidP="00166A66">
      <w:pPr>
        <w:keepNext/>
        <w:ind w:left="720" w:firstLine="720"/>
      </w:pPr>
      <w:r>
        <w:t>UF Curriculum:</w:t>
      </w:r>
      <w:r w:rsidR="002D059E">
        <w:tab/>
      </w:r>
      <w:r w:rsidR="002D059E">
        <w:tab/>
      </w:r>
      <w:r w:rsidR="002D059E">
        <w:tab/>
        <w:t>04/15</w:t>
      </w:r>
    </w:p>
    <w:sectPr w:rsidR="00DE7895" w:rsidSect="00166A66">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A6" w:rsidRDefault="009A5CA6">
      <w:r>
        <w:separator/>
      </w:r>
    </w:p>
  </w:endnote>
  <w:endnote w:type="continuationSeparator" w:id="0">
    <w:p w:rsidR="009A5CA6" w:rsidRDefault="009A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A6" w:rsidRDefault="009A5CA6">
      <w:r>
        <w:separator/>
      </w:r>
    </w:p>
  </w:footnote>
  <w:footnote w:type="continuationSeparator" w:id="0">
    <w:p w:rsidR="009A5CA6" w:rsidRDefault="009A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7DB" w:rsidRDefault="001A37DB"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DB" w:rsidRDefault="001A37DB" w:rsidP="006D50D0">
    <w:pPr>
      <w:pStyle w:val="Header"/>
      <w:framePr w:wrap="around" w:vAnchor="text" w:hAnchor="margin" w:xAlign="right" w:y="1"/>
      <w:rPr>
        <w:rStyle w:val="PageNumber"/>
      </w:rPr>
    </w:pPr>
  </w:p>
  <w:p w:rsidR="001A37DB" w:rsidRDefault="001A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AC0"/>
    <w:multiLevelType w:val="hybridMultilevel"/>
    <w:tmpl w:val="AA36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3"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11"/>
  </w:num>
  <w:num w:numId="5">
    <w:abstractNumId w:val="13"/>
  </w:num>
  <w:num w:numId="6">
    <w:abstractNumId w:val="1"/>
  </w:num>
  <w:num w:numId="7">
    <w:abstractNumId w:val="12"/>
  </w:num>
  <w:num w:numId="8">
    <w:abstractNumId w:val="14"/>
  </w:num>
  <w:num w:numId="9">
    <w:abstractNumId w:val="6"/>
  </w:num>
  <w:num w:numId="10">
    <w:abstractNumId w:val="2"/>
  </w:num>
  <w:num w:numId="11">
    <w:abstractNumId w:val="9"/>
  </w:num>
  <w:num w:numId="12">
    <w:abstractNumId w:val="7"/>
  </w:num>
  <w:num w:numId="13">
    <w:abstractNumId w:val="5"/>
  </w:num>
  <w:num w:numId="14">
    <w:abstractNumId w:val="8"/>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DF"/>
    <w:rsid w:val="00002AFA"/>
    <w:rsid w:val="00012C60"/>
    <w:rsid w:val="00016DD2"/>
    <w:rsid w:val="00031ACD"/>
    <w:rsid w:val="00043B33"/>
    <w:rsid w:val="00043C2D"/>
    <w:rsid w:val="00073089"/>
    <w:rsid w:val="00077961"/>
    <w:rsid w:val="000820A0"/>
    <w:rsid w:val="000C5E51"/>
    <w:rsid w:val="000D37B7"/>
    <w:rsid w:val="000D5B3C"/>
    <w:rsid w:val="000F3F59"/>
    <w:rsid w:val="000F4C11"/>
    <w:rsid w:val="00107BAA"/>
    <w:rsid w:val="00116822"/>
    <w:rsid w:val="001174B1"/>
    <w:rsid w:val="00125CDF"/>
    <w:rsid w:val="001565A9"/>
    <w:rsid w:val="00166A66"/>
    <w:rsid w:val="001738A2"/>
    <w:rsid w:val="00174E9F"/>
    <w:rsid w:val="00181255"/>
    <w:rsid w:val="00184425"/>
    <w:rsid w:val="00193171"/>
    <w:rsid w:val="001A2393"/>
    <w:rsid w:val="001A37DB"/>
    <w:rsid w:val="001B4CE6"/>
    <w:rsid w:val="001C08A7"/>
    <w:rsid w:val="001E3176"/>
    <w:rsid w:val="00217B8F"/>
    <w:rsid w:val="00226092"/>
    <w:rsid w:val="00256BD9"/>
    <w:rsid w:val="002919B9"/>
    <w:rsid w:val="002943A8"/>
    <w:rsid w:val="002A2F03"/>
    <w:rsid w:val="002C4572"/>
    <w:rsid w:val="002D059E"/>
    <w:rsid w:val="002D2D23"/>
    <w:rsid w:val="002D5480"/>
    <w:rsid w:val="002D77A7"/>
    <w:rsid w:val="00307769"/>
    <w:rsid w:val="00334481"/>
    <w:rsid w:val="0034493C"/>
    <w:rsid w:val="00344F56"/>
    <w:rsid w:val="00345D3D"/>
    <w:rsid w:val="0037561F"/>
    <w:rsid w:val="00392E32"/>
    <w:rsid w:val="003A26FF"/>
    <w:rsid w:val="003A4276"/>
    <w:rsid w:val="003A6CA8"/>
    <w:rsid w:val="003D387D"/>
    <w:rsid w:val="003D5C55"/>
    <w:rsid w:val="003E4373"/>
    <w:rsid w:val="003F0CFC"/>
    <w:rsid w:val="004142C7"/>
    <w:rsid w:val="0043551C"/>
    <w:rsid w:val="00437A83"/>
    <w:rsid w:val="0044370A"/>
    <w:rsid w:val="00451C28"/>
    <w:rsid w:val="004658CC"/>
    <w:rsid w:val="00470324"/>
    <w:rsid w:val="00484A1E"/>
    <w:rsid w:val="00491568"/>
    <w:rsid w:val="00497FB7"/>
    <w:rsid w:val="004E0981"/>
    <w:rsid w:val="004E11B1"/>
    <w:rsid w:val="00512417"/>
    <w:rsid w:val="00557076"/>
    <w:rsid w:val="00574F58"/>
    <w:rsid w:val="00575228"/>
    <w:rsid w:val="005865D2"/>
    <w:rsid w:val="00590E71"/>
    <w:rsid w:val="005A737D"/>
    <w:rsid w:val="005C2068"/>
    <w:rsid w:val="005C605B"/>
    <w:rsid w:val="005D3367"/>
    <w:rsid w:val="005D5C2E"/>
    <w:rsid w:val="005F2B99"/>
    <w:rsid w:val="005F6814"/>
    <w:rsid w:val="0060162A"/>
    <w:rsid w:val="00604670"/>
    <w:rsid w:val="00605B91"/>
    <w:rsid w:val="00612541"/>
    <w:rsid w:val="00652DBC"/>
    <w:rsid w:val="00662668"/>
    <w:rsid w:val="0066444E"/>
    <w:rsid w:val="00665535"/>
    <w:rsid w:val="006832A9"/>
    <w:rsid w:val="006D50D0"/>
    <w:rsid w:val="006D6DB9"/>
    <w:rsid w:val="007220A2"/>
    <w:rsid w:val="0073404A"/>
    <w:rsid w:val="007441BF"/>
    <w:rsid w:val="00753CC8"/>
    <w:rsid w:val="0078313E"/>
    <w:rsid w:val="00786FA2"/>
    <w:rsid w:val="00794D3C"/>
    <w:rsid w:val="007B36C0"/>
    <w:rsid w:val="007B70D9"/>
    <w:rsid w:val="007C3817"/>
    <w:rsid w:val="007E1E27"/>
    <w:rsid w:val="007E7444"/>
    <w:rsid w:val="007F1570"/>
    <w:rsid w:val="007F2CA8"/>
    <w:rsid w:val="007F5877"/>
    <w:rsid w:val="00802665"/>
    <w:rsid w:val="008070F1"/>
    <w:rsid w:val="00847614"/>
    <w:rsid w:val="008518B8"/>
    <w:rsid w:val="00877942"/>
    <w:rsid w:val="00881D04"/>
    <w:rsid w:val="00883AB1"/>
    <w:rsid w:val="00883AF1"/>
    <w:rsid w:val="00883F1C"/>
    <w:rsid w:val="008A44B4"/>
    <w:rsid w:val="008C40C5"/>
    <w:rsid w:val="008D07B7"/>
    <w:rsid w:val="008E5755"/>
    <w:rsid w:val="008F0889"/>
    <w:rsid w:val="009006B3"/>
    <w:rsid w:val="0091356D"/>
    <w:rsid w:val="00924E89"/>
    <w:rsid w:val="0092745E"/>
    <w:rsid w:val="009337C6"/>
    <w:rsid w:val="009528CF"/>
    <w:rsid w:val="009638E3"/>
    <w:rsid w:val="00975ADA"/>
    <w:rsid w:val="0097687D"/>
    <w:rsid w:val="0099755A"/>
    <w:rsid w:val="009A5CA6"/>
    <w:rsid w:val="009C3ACA"/>
    <w:rsid w:val="009D7A4E"/>
    <w:rsid w:val="009E4514"/>
    <w:rsid w:val="00A149CE"/>
    <w:rsid w:val="00A575BC"/>
    <w:rsid w:val="00AA3A95"/>
    <w:rsid w:val="00AB240A"/>
    <w:rsid w:val="00AB7048"/>
    <w:rsid w:val="00AC0A31"/>
    <w:rsid w:val="00AC23E8"/>
    <w:rsid w:val="00B05A50"/>
    <w:rsid w:val="00B107B4"/>
    <w:rsid w:val="00B3281E"/>
    <w:rsid w:val="00B35CBD"/>
    <w:rsid w:val="00B66D26"/>
    <w:rsid w:val="00B80ED2"/>
    <w:rsid w:val="00B87503"/>
    <w:rsid w:val="00B934E0"/>
    <w:rsid w:val="00B93DE5"/>
    <w:rsid w:val="00BC26F1"/>
    <w:rsid w:val="00BF2665"/>
    <w:rsid w:val="00C143AA"/>
    <w:rsid w:val="00C238F8"/>
    <w:rsid w:val="00C30C9D"/>
    <w:rsid w:val="00C36FEA"/>
    <w:rsid w:val="00C468B8"/>
    <w:rsid w:val="00C95D66"/>
    <w:rsid w:val="00CA3174"/>
    <w:rsid w:val="00CA4E16"/>
    <w:rsid w:val="00CB5FDA"/>
    <w:rsid w:val="00CC5FCD"/>
    <w:rsid w:val="00CE7FB1"/>
    <w:rsid w:val="00D00314"/>
    <w:rsid w:val="00D24291"/>
    <w:rsid w:val="00D3566C"/>
    <w:rsid w:val="00D36432"/>
    <w:rsid w:val="00D37B9E"/>
    <w:rsid w:val="00D37D9F"/>
    <w:rsid w:val="00D50F27"/>
    <w:rsid w:val="00D81335"/>
    <w:rsid w:val="00D82DB9"/>
    <w:rsid w:val="00DD0BBC"/>
    <w:rsid w:val="00DD254E"/>
    <w:rsid w:val="00DD4DCD"/>
    <w:rsid w:val="00DD5932"/>
    <w:rsid w:val="00DD7032"/>
    <w:rsid w:val="00DE7895"/>
    <w:rsid w:val="00E157DA"/>
    <w:rsid w:val="00E3228A"/>
    <w:rsid w:val="00E326A5"/>
    <w:rsid w:val="00E355DB"/>
    <w:rsid w:val="00E41AB7"/>
    <w:rsid w:val="00E42F5A"/>
    <w:rsid w:val="00E55429"/>
    <w:rsid w:val="00E70F1D"/>
    <w:rsid w:val="00E80F14"/>
    <w:rsid w:val="00E97FCD"/>
    <w:rsid w:val="00EC33BF"/>
    <w:rsid w:val="00EE1E73"/>
    <w:rsid w:val="00EF4CCB"/>
    <w:rsid w:val="00EF5031"/>
    <w:rsid w:val="00F15185"/>
    <w:rsid w:val="00F16456"/>
    <w:rsid w:val="00F3292D"/>
    <w:rsid w:val="00F42E5D"/>
    <w:rsid w:val="00F501D4"/>
    <w:rsid w:val="00F60CF1"/>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58444-75C8-44FD-834E-3923CF8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1F"/>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 w:type="character" w:styleId="FollowedHyperlink">
    <w:name w:val="FollowedHyperlink"/>
    <w:basedOn w:val="DefaultParagraphFont"/>
    <w:rsid w:val="004E11B1"/>
    <w:rPr>
      <w:color w:val="954F72" w:themeColor="followedHyperlink"/>
      <w:u w:val="single"/>
    </w:rPr>
  </w:style>
  <w:style w:type="paragraph" w:styleId="ListParagraph">
    <w:name w:val="List Paragraph"/>
    <w:basedOn w:val="Normal"/>
    <w:uiPriority w:val="34"/>
    <w:qFormat/>
    <w:rsid w:val="005C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846096004">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375039217">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sccr.dso.ufl.edu/process/student-conduct-co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c.dso.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ufl.edu/wp-content/uploads/2012/08/NetiquetteGuideforOnlineCourses.pdf" TargetMode="External"/><Relationship Id="rId5" Type="http://schemas.openxmlformats.org/officeDocument/2006/relationships/webSettings" Target="webSetting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98F4-52B8-49EF-AE5F-756763B8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12038</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131130</vt:i4>
      </vt:variant>
      <vt:variant>
        <vt:i4>0</vt:i4>
      </vt:variant>
      <vt:variant>
        <vt:i4>0</vt:i4>
      </vt:variant>
      <vt:variant>
        <vt:i4>5</vt:i4>
      </vt:variant>
      <vt:variant>
        <vt:lpwstr>mailto:jmgannon@ufl.edu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cp:lastModifiedBy>Reid,Kelly A</cp:lastModifiedBy>
  <cp:revision>4</cp:revision>
  <cp:lastPrinted>2018-07-18T02:16:00Z</cp:lastPrinted>
  <dcterms:created xsi:type="dcterms:W3CDTF">2018-07-24T13:55:00Z</dcterms:created>
  <dcterms:modified xsi:type="dcterms:W3CDTF">2018-08-14T18:05:00Z</dcterms:modified>
</cp:coreProperties>
</file>