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485"/>
        <w:gridCol w:w="6155"/>
        <w:gridCol w:w="1310"/>
      </w:tblGrid>
      <w:tr w:rsidR="00320E9D" w:rsidTr="001C0379">
        <w:tc>
          <w:tcPr>
            <w:tcW w:w="5485" w:type="dxa"/>
          </w:tcPr>
          <w:p w:rsidR="00320E9D" w:rsidRDefault="00320E9D">
            <w:r>
              <w:t>Title</w:t>
            </w:r>
          </w:p>
        </w:tc>
        <w:tc>
          <w:tcPr>
            <w:tcW w:w="6155" w:type="dxa"/>
          </w:tcPr>
          <w:p w:rsidR="00320E9D" w:rsidRDefault="00320E9D">
            <w:r>
              <w:t>Authors</w:t>
            </w:r>
          </w:p>
        </w:tc>
        <w:tc>
          <w:tcPr>
            <w:tcW w:w="1310" w:type="dxa"/>
          </w:tcPr>
          <w:p w:rsidR="00320E9D" w:rsidRDefault="00320E9D">
            <w:r>
              <w:t>Category</w:t>
            </w:r>
          </w:p>
        </w:tc>
      </w:tr>
      <w:tr w:rsidR="00320E9D" w:rsidTr="001C0379">
        <w:tc>
          <w:tcPr>
            <w:tcW w:w="5485" w:type="dxa"/>
          </w:tcPr>
          <w:p w:rsidR="00320E9D" w:rsidRDefault="00320E9D" w:rsidP="00320E9D"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3E Flow Sheet Initiative 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Neal Hungerford BSN, RN; Kari Stokes, DNP, RN; Shirley Simpson, DNP, RN, CNE, CPD-BC, VHA-CM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 Clinical Practice Guideline for Postoperative Laparoscopic Bariatric Surgery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Nicole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Gillings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RN, BSN, DNP student Mentor: Dr. Rene Love, PhD, DNP, PMHNP-BC, FNAP, FAANP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 New Diagnostic in Cardiovascular Risk Assessment: Evaluating Lipoprotein(a) Testing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Abigail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Belizaire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BSN, RN, DNP Candidate &amp; Laurie Duckworth, PhD, APRN, FNP-BC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A Nurse-led Intervention for Patients with Newly Diagnosed Cancer and Type 2 Diabetes: Study Protocol for a Randomized Controlled Pilot </w:t>
            </w:r>
            <w:proofErr w:type="spellStart"/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Triat</w:t>
            </w:r>
            <w:proofErr w:type="spellEnd"/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Anatolia Legaspi, Tarah Nelson,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Shavondra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Huggins, DNP, LaToya O'Neal Ph</w:t>
            </w:r>
            <w:r>
              <w:rPr>
                <w:rFonts w:ascii="Calibri" w:hAnsi="Calibri" w:cs="Calibri"/>
                <w:b w:val="0"/>
                <w:color w:val="000000"/>
                <w:sz w:val="22"/>
              </w:rPr>
              <w:t xml:space="preserve">D, Ara Jo, PhD, Thomas George, MD, Juan Munoz-Pena, MD, Merry-Jennifer Markham, MD, Martina Murphy, MD, Jonathan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</w:rPr>
              <w:t>Chatzkel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</w:rPr>
              <w:t xml:space="preserve">, MD,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</w:rPr>
              <w:t>Yingwei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</w:rPr>
              <w:t xml:space="preserve"> Yao, PhD, Sherise Rogers, MD, Diana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</w:rPr>
              <w:t>Wilkie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</w:rPr>
              <w:t xml:space="preserve">, PhD, RN, &amp; Lisa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</w:rPr>
              <w:t>Scarton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</w:rPr>
              <w:t>, PhD,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 Photograph into Fidelity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Torres, C.A.,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Schoppee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T.M., Gomez Villa, D., Yao, Y., &amp;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Wilkie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D.J. 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 Quality Improvement Project for Reducing Telehealth Referral Response Times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Natalie Merino, MSN, A</w:t>
            </w:r>
            <w:bookmarkStart w:id="0" w:name="_GoBack"/>
            <w:bookmarkEnd w:id="0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PRN, ACNP-BC, DNP student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 Review of Literature: The Mental Wellbeing of Rural LGBTQ+ Adolescents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Kayla Elliott, Jeanne-Marie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Stacciarini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RN, PhD, FAAN, Isidro Jimenez, Andrea Rangel, Dany Fanfan, PhD, MSN,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Analysis of Patient Acuity in the Nursing Assignment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Elizabeth de Paula Fonseca, BSN, RN Mentor: Shirley Simpson, DNP, RN, CNE, NPD-BC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Anti-Stigma and Mental Health Education in the African American Community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Terrie L. Burney &amp; Jeanne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Stacciarini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College of Nursing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Bedside Handoff Reporting as it Pertains to Patient Care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Kayla Martini BSN,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Big Bend Rural Healthcare Community Health Worker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Carolynn Hazen-Hamilton RN, CCRN, FNP DNP Student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Building Evidence Based Nursing Practice through De-Implementation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Amanda Clarke, MSN, RN-BC, CCCTM, Dawn Harris, DNP, RN, CNL,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Darfeness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Hinds, MSN, RN, VHA-CM, Lauretta Kick, BSN, RN, Jennifer Rossi, BSN, RN, Janis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Skeath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MSN, RN, Catherine Stegall, MSN, RN,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Yohandry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Suarez MSW, LCSW, BSN, RN-BC, Shirley Simpson, DNP RN CNE NPD-BC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Chest Tube Nursing Site Assessment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James V. Cockerham, RN, DNP Student; Rene Love, PhD, DNP, PMHNP-BC, FNAP, FAANP; Ann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Horgas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RN, PhD, FGSA,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College Students' Perceptions of an Online Suicide Awareness Video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Jenna Meyer, Kayla Elliott, Isidro Jimenez, Diana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Wilkie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RN, PhD, FAAN, Jeanne-Marie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Stacciarini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RN, PhD,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lastRenderedPageBreak/>
              <w:t>Comparison of Weight, BMI, and Albumin Levels in Patients with Advanced Pancreatic Cancer Based on Survival Days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Christina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Grinstead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BSN, RN,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Saunjoo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Yoon, PhD, RN, Kelsi Bevington, BSN, RN, &amp; Thomas George, MD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PhD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Complementary and Integrative Health for Depression: An Online Intervention for Mental Health Professionals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Holly Brady, DNP, PMHNP Student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COVID-19 Infection Prevention Education Among School-Aged Children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Jordan Hayes,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Jalyssa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Montes, Kim Nguyen, Laura Shen, Dr. Jennifer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Vendt</w:t>
            </w:r>
            <w:proofErr w:type="spellEnd"/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COVID-19 Leading to Ineffective Health Maintenance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Ali Boyd, Ava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Mothersill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Hannah Sarver, Emily Smith, Jacob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Zoltek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Dr. Denise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Schentrup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and Dr. Sallie Shipman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COVID-19 Mask Education for Elementary Students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Pamela Bench, Juliana DiMauro, London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Muralles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Samantha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Soviero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Dr. Jennifer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Vendt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DNP, APRN, CPNP-PC, PHC, CNE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COVID-19 Mass Vaccination Training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Danielle Jordan, Alexis Mendes, Gabriela Perez, Julie Snow, Addison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Winjum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and Dr. Sallie Shipman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COVID-19: Fear of the Unknown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Katie Bacon, Sterling Cathey, Marissa Molloy, Zoe Sherman, Katrina Sherwin, Lisa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Scarton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Development, Evaluation, and Dissemination of the English and Spanish-Language RESCUE Caregiver Websites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Caroline Sypniewski; Jennifer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LeLaurin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MPH; Kristen Wing, MA; I. Magaly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Freytes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PhD; Constance R. Uphold, PhD, ARNP,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Diabetes and COVID-19: Education for a Vulnerable Population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Cassidy Cabrera, Morgan Clouse, Kayla Elliott, Emily Grossman, Sarah Welch, and Dr. Sallie Shipman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Do Asynchronous Meetings Improve Staff Engagement in Shared Governance 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Catherine Lester, MSN, RN,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CNEcl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&amp; Shirley Simpson, DNP, RN, CNE, NPD-BC, VHA-CM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Effect of Complementary Therapies in Patients with Gastrointestinal Cancer: Systematic Review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Fatmah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A.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Alamoudi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BSN, MSN, PhD candidate &amp;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Zhiguang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Huo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PhD &amp;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Saun-Joo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Yoon, PhD,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PhD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Effect of Pasteurized Human Donor Milk on Intestinal Inflammation in Very Low Birth Weight Preterm Infants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Marina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Magalhaes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BSN; Larissa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Iapicca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BSN, RN-BC, IBCLC; Leslie Parker, PhD APRN,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PhD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Effect of </w:t>
            </w:r>
            <w:proofErr w:type="spellStart"/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Photobiomodulation</w:t>
            </w:r>
            <w:proofErr w:type="spellEnd"/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 (LLLT) on Diabetic Neuropathy (DN) in Patients with Diabetes Mellitus (DM)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Judy Lyles, RN, Sushma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Kadiyala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MD, Julio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Leey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Casella, MD, Marti Stewart, BSN,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Effect of Positive Mood on Quality of Life in Cancer Patients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Jack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Gigantino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Destiny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Gubista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Jessica Mesa, Rossana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Morice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Schuyler Rutherford, Carson Stonebreaker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Students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Effect of Skin-to-Skin Care on Mood States in Mothers of Very Low Birth Weight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Hussah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Bubshait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MSN, RN &amp; Leslie Parker, PhD, NNP-BC,</w:t>
            </w:r>
            <w:r>
              <w:rPr>
                <w:rFonts w:ascii="Calibri" w:hAnsi="Calibri" w:cs="Calibri"/>
                <w:b w:val="0"/>
                <w:color w:val="000000"/>
                <w:sz w:val="22"/>
              </w:rPr>
              <w:t xml:space="preserve"> </w:t>
            </w: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PhD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Empowering </w:t>
            </w:r>
            <w:proofErr w:type="spellStart"/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Al'z</w:t>
            </w:r>
            <w:proofErr w:type="spellEnd"/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 Place and reducing Caregiver Role Strain Through Community Outreach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Connor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Hazellief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LeeAnn Hewitt, Kylie House, Lilyanna Mancuso, &amp; Lisa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Scarton</w:t>
            </w:r>
            <w:proofErr w:type="spellEnd"/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lastRenderedPageBreak/>
              <w:t>Enhancing Veteran Caregiver Support through Collaboration and Shared Resources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Casey Bopp, RN, BSN, Meghan Booth, LCSW, Kimberlee Bridges, LCSW, Sandra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Citty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Constance Uphold, PhD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Evaluating a Cervical Cancer Screening Tool for Feasibility in a Primary Care Setting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Courtney A.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Kailunas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BSN, RN &amp; Lisa Ferguson DNP, RN, WHNP-BC, CNE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Evaluation of a Transitional Care Protocol in a Rural Clinic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Krsitin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Bouwer, BSN, RN-BC, DNP-FNP &amp; Denise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Schentrup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DNP, APRN-BC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Evaluation of External Urinary Catheters vs. Indwelling Urinary Catheters in the Reduction of CAUTIs in Hospitalized Female Patients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Hailey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Bosetti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Ariana Lee, Morgan Kwok, and Madison Vaught BSN Students (CLIC 6)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Evaluation of Parent Attitudes and Knowledge of Childhood Vaccines in a Rural vs Urban Clinic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Rebeca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Siguenza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BSN, RN-BC, Asley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Zawolik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BSN, RN-BC, Michael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Maymi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DNP, Stephanie Clifford DNP, Laurie Duckworth PhD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Exploration of the 2-Bin Kanban System in Medical-Surgical Nursing Units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Megan Light BSN,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Facilitating Implementation of DBT at a Residential Treatment Facility for Adolescents: A Quality Improvement Project 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Alvin D. Marquez, RN, BSN, Tina M. D'Alessandro, PhD, ARNP, PMHNP-BC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Heart Screening with Electrocardiography in Adolescents: A Playbook for Practice Change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Amanda Russ, Kurt Easton, Evan Ernst, Dr. Denise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Schentrup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&amp; Dr. Jennifer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Vendt</w:t>
            </w:r>
            <w:proofErr w:type="spellEnd"/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Homelessness as a Public Health Issue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Joudelyne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Altidor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Macy Caldwell, Colby Coats, Carl Dela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Druz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Savannah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Laino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and Dr. Sallie Shipman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HPV Vaccination Rate Quality Improvement Project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Denay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Davidon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ARNP, MSN, PNP-BC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Identifying and Increasing Diversity Within the Addiction Community of INTNSA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Alexis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Bouters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Kayla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Vigliotti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&amp; Lisa Domenico, PhD, RN, CARN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Identifying Time Delays to Surgical Correction in Children with Testicular Torsions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Chelsey McClellan, BSN, RN, DNP Student; Christopher Bayne, MD, Assistant Professor, Division of Pediatric Urology; Michael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Maymi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DNP, APRN, CPNP-AC, CCRN, CNE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Identifying Vulnerable Veterans in the Post-COVID Era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Julia Gamble, MSN, APRN, DNP-c, Nancy Lapointe, MSN, APRN, Sandra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Citty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APRN-BC, CNE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Implementation of a Transitional Care Model in the Heart Failure Population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Shayna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Rabess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BSN RN, DNP Student (FNP Track)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Implementation of an Advance Care Planning Protocol in a Rural Health Clinic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Sarah Farr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Implementation of an Evidence Based Screening Tool for Depression in the Pediatric Outpatient Care Setting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Jenna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Rosenkrantz</w:t>
            </w:r>
            <w:proofErr w:type="spellEnd"/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lastRenderedPageBreak/>
              <w:t>Improvement of Blood Pressure Screenings and Management in Primary Care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Rylan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Douthett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BSN, RN; Dr. Sandra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Citty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APRN; Dr. Stacia Hays, DNP, APRN, CPNP-BC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Improving Diabetic Foot Care in a Primary Care Setting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Jelysa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Cain, BSN; Michael D.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Bumbach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APRN, FNP-BC, RN; Stacia Hays, DNP, CPNP-OC, CNE, FAANP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Improving Fluid Balance Documentation in the Acute Care Setting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Kathleen Kaplan, BSN, RN; Preceptor: Jean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Douthett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BSN, RN; Nurse Manager: Erin Boyd, BSN, RN; Project Mentor: Shirley Simpson, DNP, RN, CNE, NPD-BC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Improving Medication Adherence for Individuals with Schizophrenia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Turpin, K.L., BSN, RN, DNP Candidate; Hogan, M. K., DNP, APRN, PMHNP-BC;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Schentrup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D. M., DNP, APRN-BC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Increasing Evidence-Based Screening and Treatment for Patients Using Tobacco in Primary Care: A Quality Improvement Project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Rachael Joyner, MSN, APRN, FNP-BC, NCTTP, DNP Student; Sandra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Citty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APRN, FNP-BC; Jane Carrington, PhD, RN, FAAN; Tanya Gibbs, MSN, APRN, FNP-BC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Increasing HPV Vaccination Rates: A Quality Improvement Project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Emily Reed, RN, BSN, PNP-DNP Student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Increasing Vaccination Rates Amongst Children of Vaccine-Hesitant Parents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Dawn E. Turk, MSN, APRN, CPNP-PC, DNP Student; Michael A.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Maymi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DNP APRN, CPNP-AC, CCRN, CNE, &amp; Stephanie Clifford, DNP, APRN, CPNP-AC/PC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Influence of Race on Intestinal Microbiome Development in Preterm, Very Low-Birth-Weight Infants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Katelyn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Desorcy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-Scherer, RN; Michael Weaver, PhD, RN, FAAN; Graciela Lorca, PhD; Charlene Krueger, PhD, RN; Leslie Parker, PhD, ARNP,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PhD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Integration of a Brief Skin Cancer Risk Assessment Tool in the Electronic Health Record in a Rural Health Clinic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Jennifer Deloach, BSN, RN &amp; Dr. Denise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Schentrup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DNP, APRN-BC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Knowledge Outcomes for an Online Reproductive Health Intervention for Young Adults with Sickle Cell Disease or Sickle Cell Trait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Eades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N.T., Johnson-Mallard, V., Duckworth, L., Yao, Y., Gallo, A.M.,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Wilkie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D.J.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PhD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Mini-Cog Screening Tool: Early Identification of Patients with Cognitive Impairment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Jocelyn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Almazan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BSN, RN, CMSRN, Kasey McBride BSN, RN, Gladys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Fontanez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MSN, ARNP, FNP-C, Jacqueline Brumbaugh, MSN, CEN, RN-BC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Non-Pharmacological Interventions to Reduce Post-Operative Pain and Opioids Consumption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Martine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Orival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RN, BSN; Mentor: Shirley Simpson DNP, RN, CNE, NPD-BC, VHA-CM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Nurses' Perceptions of Barriers and Facilitators to Fall Prevention in the Acute Care Setting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Blair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Bartick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Melanie Chacon, and Lee-Ann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Tanza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Kimberly Martinez, Dr. Jeanette F. Green, Dr. Laurie Duckworth, Dr. Sandra W.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Citty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Dr.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Ragnhildur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Bjarnadottir</w:t>
            </w:r>
            <w:proofErr w:type="spellEnd"/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lastRenderedPageBreak/>
              <w:t>Nutrition &amp; Exercise Needs Assessment in a Rural Community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Kelsey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Masciello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DNP Student Family Practice; Jennifer Dungan PhD, MSN, RN; Denise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Schentrup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APRN, DNP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Parenting Plans of Young Adults with Sickle Cell Disease (SCD) or Sickle Cell Train (SCT)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A. O.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Oguntoye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BSN, A.M. Gallo PhD, FAAN, N.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Eades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BSN, D.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Aldossary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MSN, M.O.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Ezenwa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PhD, FAAN, V. Johnson-Mallard PhD, FAANP, FAAN, </w:t>
            </w:r>
            <w:proofErr w:type="spellStart"/>
            <w:proofErr w:type="gram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Y.Yao</w:t>
            </w:r>
            <w:proofErr w:type="spellEnd"/>
            <w:proofErr w:type="gram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PhD, &amp; D.J.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Wilkie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PhD,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PhD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Patients with Sickle Cell Disease Coping with Pain: A Literature Review discussing Factors of Healthcare Utilization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Adrianna Philippe,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Staja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Booker, PhD, Jennifer Dungan, PhD, Keesha Powell-Roach, PhD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Postpartum Depression Screening: Implications for Pediatric Primary Care Providers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Kelly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Garren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Wainwright, BSN,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Practitioner Led Follow Up in Complex Pediatric Conditions Following Acute Care Hospitalization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Olivia Zajac, BSN; Michael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Maymi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DNP, APRN, CPNP-AC, CCRN, CNE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Preparing the Pandemic Workforce: Inpatient Training for Outpatient Nurses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Pamela Vollmer, MSN, RN, AMB-BC, NPD-BC, Sarah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Espin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MSN, RN, AMB-BC, Tonya Reeves, MSN, RN, Stan Butler, MSN,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Preventing Surgical Site Infections in Elective Surgery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Shirley Simpson, DNP, RN, CNE, NPD-BC; Amanda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Aspilcueta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MS, RN, CIC; Monique Burns, MSN, RN; Shaquan Dye, BSN,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Promoting Interdisciplinary Communication on an Acute Care Medical-Surgical Unit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Kathleen Devaney, BSN, RN; Mentor: Shirley Simpson DNP, RN, CNE, NPD-BC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Promoting Mental Health During Social Isolation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Emily Manning, Samantha Moore, Jacob Peralta, Amy Wang, and Dr. Sallie Shipman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Promoting Nonpharmacological Interventions as Complementary Therapies for Acute Pain Managements in a Sickle Cell Day Hospital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Jessica Jacques, DNP-candidate, APRN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Psychopharmacology Education for Nurses Working in Psychiatric Settings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Maria Emilia Quinones; Jeanne-Marie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Stacciarini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RN, PhD,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Quality Improvement Plan and Feasibility of Implementing a Simulated Dive Reflex and Regulated Breathing as a De-escalation Technique in an Inpatient Psych Setting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Charlotte Toms, RN, BSN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Racial Disparities Related to Restraint Use in Healthcare: A Literature Review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Andrew Smith ABSN, Grace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Kuenzli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TBSN, Anita Stephen MSN, CNL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Reducing Boredom to Reduce Falls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Timothy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Quitco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BSN, RN; Rylan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Douthett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BSN, RN; Hector Vazquez, BSN, RN, MS Pharm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Reducing the Spread of COVID-19 in Middle Schools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Makayla Dorner, Courtney Battaglia, Lindsey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Staton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Russell Randall, and Dr. Sallie Shipman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lastRenderedPageBreak/>
              <w:t>Reflective Leadership: Journaling Towards Social Justice in Undergraduate Nursing Students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Tess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Tumarkin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Carolina Morales, Angelica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Artiaga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Kayla Elliott, Anne C. Dillard, DNP, RN, AGCNS, CNE, Jeanne-Marie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Stacciarini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RN, PhD,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Resilience Moderates the Relationship Between Everyday Experiences of Discrimination and Movement-Evoked Pain in non-Hispanic Black Women with Knee Osteoarthritis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Mayra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Astencio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BA, Emily J. Barley, PhD,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Staja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Q. Booker, PhD, RN, Kimberly T.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Sibille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PhD, Josue S. Cardoso, Adriana S. Addison, MPH, Roland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Staud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MD, David T. Redden, PhD,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Burel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R.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Goodin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PhD, Roger B.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Fillingim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Ellen L. Terry, PhD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Role of Pediatric Nurses in Pediatric Social Determinants of Health Screening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Lauren K. Sevilla, BSN Student &amp;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Staja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Q. Booker, PhD,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Selection of Relaxation Videos from YouTube for a Stress and Pain Self-Management m-Health App in Outpatients with Sickle Cell Disease Study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Margot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Heiser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BSN Student, Katrina Bogle, BSN Student,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Yingwei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Yao, PhD, Diana J.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Wilkie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PhD, RN, FAAN, David Fedele, PhD, ABPP, Inge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Corless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PhD, RN, FNAP, FAAN, Miriam O.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Ezenwa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RN,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Social Isolation Among Elementary School Children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Taylor Collins, Catherine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Migliore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Kenna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Prins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Julianne Smith, Sonya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Veerjee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Jennifer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Vendt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(Faculty Mentor)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STIs: A Health Promotion E-Educational Project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Catherine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Voght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; Jeanne-Marie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Stacciarini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RN, PhD, FAAN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Supporting Diabetes-Induced Neuropathy Innovations Through Precision Health with a Novel Dorsal Root Ganglia Protocol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LeeAnn Hewitt, Dr. Campbell-Thompson, &amp; Dr.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Scarton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The Association of Resilience and Post-Traumatic Stress Disorder with Health-Related Quality of Life among American Indians with Type 2 Diabetes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Joan Burgos Melendez, Jake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Cabassa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Tarah Nelson, MSN, APRN, Luciana E. Hebert, PhD, R. Turner Goins, PhD, Jason G.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Umans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MD, PhD,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Luohua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Jiang, PhD, Ashley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Comiford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DrPH,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Sixia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Chen, PhD, Ashley White, MPH, Tara Ritter, DNP, Spero M. Manson, PhD, Lisa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Scarton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PhD, RN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The Impact of COVID-19: The Influence of a Pandemic on Children's Nutrition and Exercise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Monika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Caffier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Gillian Kane, Hannah Kelly,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Shamber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 Miller, and Dr. Jennifer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Vendt</w:t>
            </w:r>
            <w:proofErr w:type="spellEnd"/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TL1 Approach to Personalization of Donor Human Milk using Fresh and Frozen Mother's Own Milk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Marion Bendixen, Natalie Harrison, Josef Neu, Graciela Lorca, and Leslie Parker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Professional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Utilization of Statin Therapy in Diabetics for Primary Prevention of CAD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Sarah Miller, BSN, RN-BC (DNP-FNP Student) &amp; Laurie Duckworth PhD, APRN, FNP-BC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DNP</w:t>
            </w:r>
          </w:p>
        </w:tc>
      </w:tr>
      <w:tr w:rsidR="00320E9D" w:rsidRPr="00FD3999" w:rsidTr="001C0379">
        <w:trPr>
          <w:trHeight w:val="300"/>
        </w:trPr>
        <w:tc>
          <w:tcPr>
            <w:tcW w:w="5485" w:type="dxa"/>
            <w:noWrap/>
            <w:hideMark/>
          </w:tcPr>
          <w:p w:rsidR="00320E9D" w:rsidRPr="00FD3999" w:rsidRDefault="00320E9D" w:rsidP="00320E9D">
            <w:pPr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FD3999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Utilization of sun protection by black and white adults residing in North Central Florida</w:t>
            </w:r>
          </w:p>
        </w:tc>
        <w:tc>
          <w:tcPr>
            <w:tcW w:w="6155" w:type="dxa"/>
          </w:tcPr>
          <w:p w:rsidR="00320E9D" w:rsidRPr="00320E9D" w:rsidRDefault="00320E9D" w:rsidP="00320E9D">
            <w:pPr>
              <w:rPr>
                <w:rFonts w:ascii="Calibri" w:hAnsi="Calibri" w:cs="Calibri"/>
                <w:b w:val="0"/>
                <w:color w:val="000000"/>
                <w:sz w:val="22"/>
              </w:rPr>
            </w:pP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Bajoo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J., Reed, T., Gordon, D.,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Dyal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B.W., Roach, K., Johnson-Mallard, V., Krieger, J.,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Odedina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 xml:space="preserve">, F., Yao, Y., </w:t>
            </w:r>
            <w:proofErr w:type="spellStart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Wilkie</w:t>
            </w:r>
            <w:proofErr w:type="spellEnd"/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, D.J.</w:t>
            </w:r>
          </w:p>
        </w:tc>
        <w:tc>
          <w:tcPr>
            <w:tcW w:w="1310" w:type="dxa"/>
          </w:tcPr>
          <w:p w:rsidR="00320E9D" w:rsidRPr="00320E9D" w:rsidRDefault="00320E9D" w:rsidP="00320E9D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320E9D">
              <w:rPr>
                <w:rFonts w:ascii="Calibri" w:hAnsi="Calibri" w:cs="Calibri"/>
                <w:b w:val="0"/>
                <w:color w:val="000000"/>
                <w:sz w:val="22"/>
              </w:rPr>
              <w:t>BSN</w:t>
            </w:r>
          </w:p>
        </w:tc>
      </w:tr>
    </w:tbl>
    <w:p w:rsidR="00BE6648" w:rsidRDefault="00BE6648"/>
    <w:sectPr w:rsidR="00BE6648" w:rsidSect="00FD3999">
      <w:pgSz w:w="15840" w:h="12240" w:orient="landscape"/>
      <w:pgMar w:top="144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99"/>
    <w:rsid w:val="001C0379"/>
    <w:rsid w:val="00320E9D"/>
    <w:rsid w:val="00BE6648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60DA"/>
  <w15:chartTrackingRefBased/>
  <w15:docId w15:val="{E3FD98EE-87FA-4F2F-9798-73B9C65D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Evans,Victoria F</dc:creator>
  <cp:keywords/>
  <dc:description/>
  <cp:lastModifiedBy>Evans,Victoria F</cp:lastModifiedBy>
  <cp:revision>2</cp:revision>
  <dcterms:created xsi:type="dcterms:W3CDTF">2021-04-16T11:30:00Z</dcterms:created>
  <dcterms:modified xsi:type="dcterms:W3CDTF">2021-04-16T11:58:00Z</dcterms:modified>
</cp:coreProperties>
</file>